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7C68" w14:textId="61FCF0AB" w:rsidR="00C767E0" w:rsidRPr="00BB713D" w:rsidRDefault="008850BC" w:rsidP="00C767E0">
      <w:pPr>
        <w:tabs>
          <w:tab w:val="left" w:pos="1875"/>
        </w:tabs>
        <w:jc w:val="both"/>
        <w:rPr>
          <w:rFonts w:asciiTheme="minorHAnsi" w:hAnsiTheme="minorHAnsi"/>
        </w:rPr>
      </w:pPr>
      <w:r>
        <w:rPr>
          <w:noProof/>
          <w:lang w:eastAsia="en-AU"/>
        </w:rPr>
        <w:drawing>
          <wp:anchor distT="0" distB="0" distL="114300" distR="114300" simplePos="0" relativeHeight="251663360" behindDoc="1" locked="0" layoutInCell="1" allowOverlap="1" wp14:anchorId="3B61C955" wp14:editId="3FA9A889">
            <wp:simplePos x="0" y="0"/>
            <wp:positionH relativeFrom="margin">
              <wp:align>right</wp:align>
            </wp:positionH>
            <wp:positionV relativeFrom="paragraph">
              <wp:posOffset>123190</wp:posOffset>
            </wp:positionV>
            <wp:extent cx="1409700" cy="714375"/>
            <wp:effectExtent l="0" t="0" r="0" b="9525"/>
            <wp:wrapTight wrapText="bothSides">
              <wp:wrapPolygon edited="0">
                <wp:start x="3211" y="0"/>
                <wp:lineTo x="0" y="2880"/>
                <wp:lineTo x="0" y="14400"/>
                <wp:lineTo x="876" y="19008"/>
                <wp:lineTo x="3795" y="21312"/>
                <wp:lineTo x="4378" y="21312"/>
                <wp:lineTo x="6130" y="21312"/>
                <wp:lineTo x="20141" y="19584"/>
                <wp:lineTo x="19849" y="18432"/>
                <wp:lineTo x="21308" y="14400"/>
                <wp:lineTo x="21308" y="576"/>
                <wp:lineTo x="7297" y="0"/>
                <wp:lineTo x="321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336" behindDoc="1" locked="0" layoutInCell="1" allowOverlap="1" wp14:anchorId="53C637CD" wp14:editId="710F7C12">
            <wp:simplePos x="0" y="0"/>
            <wp:positionH relativeFrom="column">
              <wp:posOffset>1103630</wp:posOffset>
            </wp:positionH>
            <wp:positionV relativeFrom="paragraph">
              <wp:posOffset>0</wp:posOffset>
            </wp:positionV>
            <wp:extent cx="895350" cy="878205"/>
            <wp:effectExtent l="0" t="0" r="0" b="0"/>
            <wp:wrapTight wrapText="bothSides">
              <wp:wrapPolygon edited="0">
                <wp:start x="5974" y="0"/>
                <wp:lineTo x="0" y="3748"/>
                <wp:lineTo x="0" y="15931"/>
                <wp:lineTo x="5974" y="21085"/>
                <wp:lineTo x="7353" y="21085"/>
                <wp:lineTo x="14706" y="21085"/>
                <wp:lineTo x="15626" y="21085"/>
                <wp:lineTo x="21140" y="15931"/>
                <wp:lineTo x="21140" y="1874"/>
                <wp:lineTo x="12409" y="0"/>
                <wp:lineTo x="5974" y="0"/>
              </wp:wrapPolygon>
            </wp:wrapTight>
            <wp:docPr id="2" name="Picture 2" descr="http://www.ibo.org/globalassets/digital-tookit/logos-and-programme-models/ib-world-school-logo-1-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bo.org/globalassets/digital-tookit/logos-and-programme-models/ib-world-school-logo-1-colour.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895350" cy="878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4384" behindDoc="1" locked="0" layoutInCell="1" allowOverlap="1" wp14:anchorId="30A70C3F" wp14:editId="331E63A7">
            <wp:simplePos x="0" y="0"/>
            <wp:positionH relativeFrom="column">
              <wp:posOffset>224790</wp:posOffset>
            </wp:positionH>
            <wp:positionV relativeFrom="paragraph">
              <wp:posOffset>54610</wp:posOffset>
            </wp:positionV>
            <wp:extent cx="723265" cy="770255"/>
            <wp:effectExtent l="0" t="0" r="635" b="0"/>
            <wp:wrapTight wrapText="bothSides">
              <wp:wrapPolygon edited="0">
                <wp:start x="0" y="0"/>
                <wp:lineTo x="0" y="20834"/>
                <wp:lineTo x="21050" y="20834"/>
                <wp:lineTo x="2105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C767E0" w:rsidRPr="00BB713D">
        <w:rPr>
          <w:rFonts w:asciiTheme="minorHAnsi" w:hAnsiTheme="minorHAnsi"/>
          <w:noProof/>
          <w:lang w:eastAsia="en-AU"/>
        </w:rPr>
        <mc:AlternateContent>
          <mc:Choice Requires="wps">
            <w:drawing>
              <wp:anchor distT="0" distB="0" distL="114300" distR="114300" simplePos="0" relativeHeight="251659264" behindDoc="0" locked="0" layoutInCell="1" allowOverlap="1" wp14:anchorId="141B806E" wp14:editId="3A20C76C">
                <wp:simplePos x="0" y="0"/>
                <wp:positionH relativeFrom="column">
                  <wp:posOffset>5334000</wp:posOffset>
                </wp:positionH>
                <wp:positionV relativeFrom="paragraph">
                  <wp:posOffset>133985</wp:posOffset>
                </wp:positionV>
                <wp:extent cx="914400" cy="914400"/>
                <wp:effectExtent l="6350" t="12700" r="1270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FFFFFF"/>
                          </a:solidFill>
                          <a:miter lim="800000"/>
                          <a:headEnd/>
                          <a:tailEnd/>
                        </a:ln>
                      </wps:spPr>
                      <wps:txbx>
                        <w:txbxContent>
                          <w:p w14:paraId="497C425D" w14:textId="77777777" w:rsidR="00F01515" w:rsidRDefault="00F01515" w:rsidP="00C767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B806E" id="_x0000_t202" coordsize="21600,21600" o:spt="202" path="m,l,21600r21600,l21600,xe">
                <v:stroke joinstyle="miter"/>
                <v:path gradientshapeok="t" o:connecttype="rect"/>
              </v:shapetype>
              <v:shape id="Text Box 12" o:spid="_x0000_s1026" type="#_x0000_t202" style="position:absolute;left:0;text-align:left;margin-left:420pt;margin-top:10.5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" strokecolor="white">
                <v:textbox>
                  <w:txbxContent>
                    <w:p w14:paraId="497C425D" w14:textId="77777777" w:rsidR="00F01515" w:rsidRDefault="00F01515" w:rsidP="00C767E0"/>
                  </w:txbxContent>
                </v:textbox>
              </v:shape>
            </w:pict>
          </mc:Fallback>
        </mc:AlternateContent>
      </w:r>
      <w:r w:rsidR="00C767E0">
        <w:rPr>
          <w:rFonts w:asciiTheme="minorHAnsi" w:hAnsiTheme="minorHAnsi"/>
        </w:rPr>
        <w:tab/>
      </w:r>
    </w:p>
    <w:p w14:paraId="3A10DAC2" w14:textId="561D446B" w:rsidR="009E3957" w:rsidRPr="008850BC" w:rsidRDefault="007D5B71" w:rsidP="009E3957">
      <w:pPr>
        <w:rPr>
          <w:rFonts w:asciiTheme="minorHAnsi" w:hAnsiTheme="minorHAnsi" w:cstheme="minorHAnsi"/>
        </w:rPr>
      </w:pPr>
      <w:r>
        <w:t xml:space="preserve">    </w:t>
      </w:r>
    </w:p>
    <w:p w14:paraId="2E8CF78A" w14:textId="77777777" w:rsidR="008850BC" w:rsidRDefault="008850BC" w:rsidP="00893402">
      <w:pPr>
        <w:ind w:left="426" w:right="424"/>
        <w:jc w:val="center"/>
        <w:rPr>
          <w:rFonts w:asciiTheme="minorHAnsi" w:hAnsiTheme="minorHAnsi" w:cstheme="minorHAnsi"/>
          <w:b/>
        </w:rPr>
      </w:pPr>
    </w:p>
    <w:p w14:paraId="58E90254" w14:textId="77777777" w:rsidR="008850BC" w:rsidRDefault="008850BC" w:rsidP="00893402">
      <w:pPr>
        <w:ind w:left="426" w:right="424"/>
        <w:jc w:val="center"/>
        <w:rPr>
          <w:rFonts w:asciiTheme="minorHAnsi" w:hAnsiTheme="minorHAnsi" w:cstheme="minorHAnsi"/>
          <w:b/>
        </w:rPr>
      </w:pPr>
    </w:p>
    <w:p w14:paraId="0D36B8CE" w14:textId="77777777" w:rsidR="008850BC" w:rsidRDefault="008850BC" w:rsidP="00893402">
      <w:pPr>
        <w:ind w:left="426" w:right="424"/>
        <w:jc w:val="center"/>
        <w:rPr>
          <w:rFonts w:asciiTheme="minorHAnsi" w:hAnsiTheme="minorHAnsi" w:cstheme="minorHAnsi"/>
          <w:b/>
        </w:rPr>
      </w:pPr>
    </w:p>
    <w:p w14:paraId="270D7527" w14:textId="77777777" w:rsidR="008850BC" w:rsidRDefault="008850BC" w:rsidP="00893402">
      <w:pPr>
        <w:ind w:left="426" w:right="424"/>
        <w:jc w:val="center"/>
        <w:rPr>
          <w:rFonts w:asciiTheme="minorHAnsi" w:hAnsiTheme="minorHAnsi" w:cstheme="minorHAnsi"/>
          <w:b/>
        </w:rPr>
      </w:pPr>
    </w:p>
    <w:p w14:paraId="16DD3773" w14:textId="77777777" w:rsidR="008850BC" w:rsidRDefault="008850BC" w:rsidP="00893402">
      <w:pPr>
        <w:ind w:left="426" w:right="424"/>
        <w:jc w:val="center"/>
        <w:rPr>
          <w:rFonts w:asciiTheme="minorHAnsi" w:hAnsiTheme="minorHAnsi" w:cstheme="minorHAnsi"/>
          <w:b/>
        </w:rPr>
      </w:pPr>
    </w:p>
    <w:p w14:paraId="6A0469F2" w14:textId="3895F6B3" w:rsidR="008A6BFD" w:rsidRPr="008A6BFD" w:rsidRDefault="008A6BFD" w:rsidP="008A6BFD">
      <w:pPr>
        <w:pStyle w:val="NormalWeb"/>
        <w:shd w:val="clear" w:color="auto" w:fill="FFFFFF"/>
        <w:spacing w:before="0" w:beforeAutospacing="0" w:after="225" w:afterAutospacing="0"/>
        <w:jc w:val="center"/>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Deakin Preschool – Reporting </w:t>
      </w:r>
      <w:r w:rsidRPr="008A6BFD">
        <w:rPr>
          <w:rFonts w:asciiTheme="minorHAnsi" w:hAnsiTheme="minorHAnsi" w:cstheme="minorHAnsi"/>
          <w:b/>
          <w:sz w:val="22"/>
          <w:szCs w:val="22"/>
          <w:lang w:eastAsia="en-US"/>
        </w:rPr>
        <w:t>Incidents</w:t>
      </w:r>
    </w:p>
    <w:p w14:paraId="2448BF66" w14:textId="21B2F8ED" w:rsidR="008A6BFD" w:rsidRPr="008A6BFD" w:rsidRDefault="008A6BFD" w:rsidP="008A6BFD">
      <w:pPr>
        <w:pStyle w:val="NormalWeb"/>
        <w:shd w:val="clear" w:color="auto" w:fill="FFFFFF"/>
        <w:spacing w:before="0" w:beforeAutospacing="0" w:after="225" w:afterAutospacing="0"/>
        <w:rPr>
          <w:rFonts w:asciiTheme="minorHAnsi" w:hAnsiTheme="minorHAnsi" w:cstheme="minorHAnsi"/>
          <w:bCs/>
          <w:sz w:val="22"/>
          <w:szCs w:val="22"/>
          <w:lang w:eastAsia="en-US"/>
        </w:rPr>
      </w:pPr>
      <w:r w:rsidRPr="008A6BFD">
        <w:rPr>
          <w:rFonts w:asciiTheme="minorHAnsi" w:hAnsiTheme="minorHAnsi" w:cstheme="minorHAnsi"/>
          <w:bCs/>
          <w:sz w:val="22"/>
          <w:szCs w:val="22"/>
          <w:lang w:eastAsia="en-US"/>
        </w:rPr>
        <w:t>Under the National Law and Regulations, the approved provider must </w:t>
      </w:r>
      <w:hyperlink r:id="rId9" w:history="1">
        <w:r w:rsidRPr="008A6BFD">
          <w:rPr>
            <w:rFonts w:asciiTheme="minorHAnsi" w:hAnsiTheme="minorHAnsi" w:cstheme="minorHAnsi"/>
            <w:bCs/>
            <w:sz w:val="22"/>
            <w:szCs w:val="22"/>
            <w:lang w:eastAsia="en-US"/>
          </w:rPr>
          <w:t>notify the regulatory authority</w:t>
        </w:r>
      </w:hyperlink>
      <w:r w:rsidRPr="008A6BFD">
        <w:rPr>
          <w:rFonts w:asciiTheme="minorHAnsi" w:hAnsiTheme="minorHAnsi" w:cstheme="minorHAnsi"/>
          <w:bCs/>
          <w:sz w:val="22"/>
          <w:szCs w:val="22"/>
          <w:lang w:eastAsia="en-US"/>
        </w:rPr>
        <w:t> of any:</w:t>
      </w:r>
    </w:p>
    <w:p w14:paraId="15E3739D" w14:textId="77777777" w:rsidR="008A6BFD" w:rsidRPr="008A6BFD" w:rsidRDefault="008A6BFD" w:rsidP="008A6BFD">
      <w:pPr>
        <w:numPr>
          <w:ilvl w:val="0"/>
          <w:numId w:val="14"/>
        </w:numPr>
        <w:shd w:val="clear" w:color="auto" w:fill="FFFFFF"/>
        <w:spacing w:before="100" w:beforeAutospacing="1" w:after="100" w:afterAutospacing="1"/>
        <w:contextualSpacing w:val="0"/>
        <w:rPr>
          <w:rFonts w:asciiTheme="minorHAnsi" w:hAnsiTheme="minorHAnsi" w:cstheme="minorHAnsi"/>
          <w:bCs/>
        </w:rPr>
      </w:pPr>
      <w:r w:rsidRPr="008A6BFD">
        <w:rPr>
          <w:rFonts w:asciiTheme="minorHAnsi" w:hAnsiTheme="minorHAnsi" w:cstheme="minorHAnsi"/>
          <w:bCs/>
        </w:rPr>
        <w:t>serious incidents</w:t>
      </w:r>
    </w:p>
    <w:p w14:paraId="51D7136B" w14:textId="77777777" w:rsidR="008A6BFD" w:rsidRPr="008A6BFD" w:rsidRDefault="008A6BFD" w:rsidP="008A6BFD">
      <w:pPr>
        <w:numPr>
          <w:ilvl w:val="0"/>
          <w:numId w:val="14"/>
        </w:numPr>
        <w:shd w:val="clear" w:color="auto" w:fill="FFFFFF"/>
        <w:spacing w:before="100" w:beforeAutospacing="1" w:after="100" w:afterAutospacing="1"/>
        <w:contextualSpacing w:val="0"/>
        <w:rPr>
          <w:rFonts w:asciiTheme="minorHAnsi" w:hAnsiTheme="minorHAnsi" w:cstheme="minorHAnsi"/>
          <w:bCs/>
        </w:rPr>
      </w:pPr>
      <w:r w:rsidRPr="008A6BFD">
        <w:rPr>
          <w:rFonts w:asciiTheme="minorHAnsi" w:hAnsiTheme="minorHAnsi" w:cstheme="minorHAnsi"/>
          <w:bCs/>
        </w:rPr>
        <w:t>complaints</w:t>
      </w:r>
    </w:p>
    <w:p w14:paraId="4310D15A" w14:textId="77777777" w:rsidR="008A6BFD" w:rsidRPr="008A6BFD" w:rsidRDefault="008A6BFD" w:rsidP="008A6BFD">
      <w:pPr>
        <w:numPr>
          <w:ilvl w:val="0"/>
          <w:numId w:val="14"/>
        </w:numPr>
        <w:shd w:val="clear" w:color="auto" w:fill="FFFFFF"/>
        <w:spacing w:before="100" w:beforeAutospacing="1" w:after="100" w:afterAutospacing="1"/>
        <w:contextualSpacing w:val="0"/>
        <w:rPr>
          <w:rFonts w:asciiTheme="minorHAnsi" w:hAnsiTheme="minorHAnsi" w:cstheme="minorHAnsi"/>
          <w:bCs/>
        </w:rPr>
      </w:pPr>
      <w:r w:rsidRPr="008A6BFD">
        <w:rPr>
          <w:rFonts w:asciiTheme="minorHAnsi" w:hAnsiTheme="minorHAnsi" w:cstheme="minorHAnsi"/>
          <w:bCs/>
        </w:rPr>
        <w:t>circumstances at the service which pose a risk to the health, safety or wellbeing of children</w:t>
      </w:r>
    </w:p>
    <w:p w14:paraId="773C4F98" w14:textId="77777777" w:rsidR="008A6BFD" w:rsidRPr="008A6BFD" w:rsidRDefault="008A6BFD" w:rsidP="008A6BFD">
      <w:pPr>
        <w:numPr>
          <w:ilvl w:val="0"/>
          <w:numId w:val="14"/>
        </w:numPr>
        <w:shd w:val="clear" w:color="auto" w:fill="FFFFFF"/>
        <w:spacing w:before="100" w:beforeAutospacing="1" w:after="100" w:afterAutospacing="1"/>
        <w:contextualSpacing w:val="0"/>
        <w:rPr>
          <w:rFonts w:asciiTheme="minorHAnsi" w:hAnsiTheme="minorHAnsi" w:cstheme="minorHAnsi"/>
          <w:bCs/>
        </w:rPr>
      </w:pPr>
      <w:r w:rsidRPr="008A6BFD">
        <w:rPr>
          <w:rFonts w:asciiTheme="minorHAnsi" w:hAnsiTheme="minorHAnsi" w:cstheme="minorHAnsi"/>
          <w:bCs/>
        </w:rPr>
        <w:t>any incident or allegation that physical or sexual abuse of a child or children has occurred or is occurring while the child or children are being educated and cared for by the service. </w:t>
      </w:r>
    </w:p>
    <w:p w14:paraId="51BFB26B" w14:textId="77777777" w:rsidR="00A04C18" w:rsidRPr="00530501" w:rsidRDefault="00A04C18" w:rsidP="00A04C18">
      <w:r w:rsidRPr="00530501">
        <w:t xml:space="preserve">Critical and/or emergency incident – an event that causes severe impact, such as significant disruption to the school routine, an emergency management situation, or threat to the safety of students and staff.  </w:t>
      </w:r>
    </w:p>
    <w:p w14:paraId="422C9F84" w14:textId="77777777" w:rsidR="00A04C18" w:rsidRPr="00530501" w:rsidRDefault="00A04C18" w:rsidP="00A04C18">
      <w:pPr>
        <w:ind w:left="851"/>
      </w:pPr>
    </w:p>
    <w:p w14:paraId="4B52AF19" w14:textId="77777777" w:rsidR="00A04C18" w:rsidRDefault="00A04C18" w:rsidP="00A04C18">
      <w:pPr>
        <w:ind w:left="851" w:hanging="851"/>
      </w:pPr>
      <w:r w:rsidRPr="00530501">
        <w:t xml:space="preserve">It may be sudden or protracted, extremely dangerous, involve police or emergency services personnel, </w:t>
      </w:r>
    </w:p>
    <w:p w14:paraId="44F07354" w14:textId="0EDCE53B" w:rsidR="00A04C18" w:rsidRPr="00530501" w:rsidRDefault="00A04C18" w:rsidP="00A04C18">
      <w:pPr>
        <w:ind w:left="851" w:hanging="851"/>
      </w:pPr>
      <w:r w:rsidRPr="00530501">
        <w:t xml:space="preserve">and </w:t>
      </w:r>
      <w:proofErr w:type="gramStart"/>
      <w:r w:rsidRPr="00530501">
        <w:t>generally</w:t>
      </w:r>
      <w:proofErr w:type="gramEnd"/>
      <w:r>
        <w:t xml:space="preserve"> </w:t>
      </w:r>
      <w:r w:rsidRPr="00530501">
        <w:t>be outside the normal range of experience or expectation of the people affected.</w:t>
      </w:r>
    </w:p>
    <w:p w14:paraId="57853854" w14:textId="77777777" w:rsidR="00A04C18" w:rsidRPr="00530501" w:rsidRDefault="00A04C18" w:rsidP="00A04C18">
      <w:pPr>
        <w:ind w:left="851"/>
      </w:pPr>
    </w:p>
    <w:p w14:paraId="2CCECE0D" w14:textId="77777777" w:rsidR="00A04C18" w:rsidRPr="00530501" w:rsidRDefault="00A04C18" w:rsidP="00A04C18">
      <w:pPr>
        <w:ind w:left="851" w:hanging="851"/>
      </w:pPr>
      <w:r w:rsidRPr="00530501">
        <w:t>It may involve:</w:t>
      </w:r>
    </w:p>
    <w:p w14:paraId="14C392E8" w14:textId="77777777" w:rsidR="00A04C18" w:rsidRPr="00530501" w:rsidRDefault="00A04C18" w:rsidP="00A04C18">
      <w:pPr>
        <w:pStyle w:val="ListParagraph"/>
        <w:numPr>
          <w:ilvl w:val="0"/>
          <w:numId w:val="19"/>
        </w:numPr>
        <w:contextualSpacing/>
      </w:pPr>
      <w:r w:rsidRPr="00530501">
        <w:t>a siege/hostage situation</w:t>
      </w:r>
    </w:p>
    <w:p w14:paraId="2DE77B04" w14:textId="77777777" w:rsidR="00A04C18" w:rsidRPr="00530501" w:rsidRDefault="00A04C18" w:rsidP="00A04C18">
      <w:pPr>
        <w:pStyle w:val="ListParagraph"/>
        <w:numPr>
          <w:ilvl w:val="0"/>
          <w:numId w:val="19"/>
        </w:numPr>
        <w:contextualSpacing/>
      </w:pPr>
      <w:r w:rsidRPr="00530501">
        <w:t>terrorist activity</w:t>
      </w:r>
    </w:p>
    <w:p w14:paraId="24670CCA" w14:textId="77777777" w:rsidR="00A04C18" w:rsidRPr="00530501" w:rsidRDefault="00A04C18" w:rsidP="00A04C18">
      <w:pPr>
        <w:pStyle w:val="ListParagraph"/>
        <w:numPr>
          <w:ilvl w:val="0"/>
          <w:numId w:val="19"/>
        </w:numPr>
        <w:contextualSpacing/>
      </w:pPr>
      <w:r w:rsidRPr="00530501">
        <w:t>natural disaster – bushfire, flood, earthquake, severe storm</w:t>
      </w:r>
    </w:p>
    <w:p w14:paraId="20626E09" w14:textId="77777777" w:rsidR="00A04C18" w:rsidRPr="00530501" w:rsidRDefault="00A04C18" w:rsidP="00A04C18">
      <w:pPr>
        <w:pStyle w:val="ListParagraph"/>
        <w:numPr>
          <w:ilvl w:val="0"/>
          <w:numId w:val="19"/>
        </w:numPr>
        <w:contextualSpacing/>
      </w:pPr>
      <w:r w:rsidRPr="00530501">
        <w:t xml:space="preserve">a bomb </w:t>
      </w:r>
      <w:proofErr w:type="gramStart"/>
      <w:r w:rsidRPr="00530501">
        <w:t>threat</w:t>
      </w:r>
      <w:proofErr w:type="gramEnd"/>
    </w:p>
    <w:p w14:paraId="7B242223" w14:textId="77777777" w:rsidR="00A04C18" w:rsidRPr="00530501" w:rsidRDefault="00A04C18" w:rsidP="00A04C18">
      <w:pPr>
        <w:pStyle w:val="ListParagraph"/>
        <w:numPr>
          <w:ilvl w:val="0"/>
          <w:numId w:val="19"/>
        </w:numPr>
        <w:contextualSpacing/>
      </w:pPr>
      <w:r w:rsidRPr="00530501">
        <w:t>a lock down, evacuation or temporary closure</w:t>
      </w:r>
    </w:p>
    <w:p w14:paraId="343E94DF" w14:textId="77777777" w:rsidR="00A04C18" w:rsidRPr="00530501" w:rsidRDefault="00A04C18" w:rsidP="00A04C18">
      <w:pPr>
        <w:pStyle w:val="ListParagraph"/>
        <w:numPr>
          <w:ilvl w:val="0"/>
          <w:numId w:val="19"/>
        </w:numPr>
        <w:contextualSpacing/>
      </w:pPr>
      <w:r w:rsidRPr="00530501">
        <w:t>disappearance or suspicious removal of a student</w:t>
      </w:r>
    </w:p>
    <w:p w14:paraId="5FE2081A" w14:textId="77777777" w:rsidR="00A04C18" w:rsidRPr="00530501" w:rsidRDefault="00A04C18" w:rsidP="00A04C18">
      <w:pPr>
        <w:pStyle w:val="ListParagraph"/>
        <w:numPr>
          <w:ilvl w:val="0"/>
          <w:numId w:val="19"/>
        </w:numPr>
        <w:contextualSpacing/>
      </w:pPr>
      <w:r w:rsidRPr="00530501">
        <w:t>death on campus or a at a school activity</w:t>
      </w:r>
    </w:p>
    <w:p w14:paraId="7D5DA628" w14:textId="77777777" w:rsidR="00A04C18" w:rsidRPr="00530501" w:rsidRDefault="00A04C18" w:rsidP="00A04C18">
      <w:pPr>
        <w:pStyle w:val="BlankLine"/>
      </w:pPr>
    </w:p>
    <w:p w14:paraId="0CBC4F22" w14:textId="54C55796" w:rsidR="00A04C18" w:rsidRDefault="00A04C18" w:rsidP="00A04C18">
      <w:pPr>
        <w:spacing w:after="200" w:line="276" w:lineRule="auto"/>
        <w:rPr>
          <w:rFonts w:asciiTheme="minorHAnsi" w:hAnsiTheme="minorHAnsi" w:cstheme="minorHAnsi"/>
          <w:b/>
        </w:rPr>
      </w:pPr>
      <w:r w:rsidRPr="00A04C18">
        <w:rPr>
          <w:rFonts w:asciiTheme="minorHAnsi" w:hAnsiTheme="minorHAnsi" w:cstheme="minorHAnsi"/>
          <w:b/>
        </w:rPr>
        <w:t>All critical incidents must be reported immediately to the Directorate.</w:t>
      </w:r>
    </w:p>
    <w:p w14:paraId="31BDFCAB" w14:textId="77777777" w:rsidR="00A04C18" w:rsidRPr="00A04C18" w:rsidRDefault="00A04C18" w:rsidP="00A04C18">
      <w:pPr>
        <w:spacing w:after="200" w:line="276" w:lineRule="auto"/>
        <w:rPr>
          <w:rFonts w:asciiTheme="minorHAnsi" w:hAnsiTheme="minorHAnsi" w:cstheme="minorHAnsi"/>
          <w:b/>
        </w:rPr>
      </w:pPr>
    </w:p>
    <w:p w14:paraId="2F3495E8" w14:textId="77777777" w:rsidR="00A04C18" w:rsidRPr="00530501" w:rsidRDefault="00A04C18" w:rsidP="00A04C18">
      <w:pPr>
        <w:autoSpaceDE w:val="0"/>
        <w:autoSpaceDN w:val="0"/>
        <w:adjustRightInd w:val="0"/>
        <w:rPr>
          <w:rFonts w:asciiTheme="minorHAnsi" w:hAnsiTheme="minorHAnsi" w:cstheme="minorHAnsi"/>
        </w:rPr>
      </w:pPr>
      <w:r w:rsidRPr="00530501">
        <w:rPr>
          <w:rStyle w:val="Heading3Char"/>
        </w:rPr>
        <w:t>Non-critical Incident</w:t>
      </w:r>
      <w:r w:rsidRPr="00530501">
        <w:rPr>
          <w:rFonts w:asciiTheme="minorHAnsi" w:hAnsiTheme="minorHAnsi" w:cstheme="minorHAnsi"/>
          <w:b/>
        </w:rPr>
        <w:t xml:space="preserve"> - </w:t>
      </w:r>
      <w:r w:rsidRPr="00530501">
        <w:rPr>
          <w:rFonts w:asciiTheme="minorHAnsi" w:hAnsiTheme="minorHAnsi" w:cstheme="minorHAnsi"/>
        </w:rPr>
        <w:t>An event which is unanticipated or outside the accepted social norm, but which, in the experience of the general community, would not be considered an extraordinary occurrence or situation, and which the school has strategies and procedures in place to manage with little or no external assistance. It may involve:</w:t>
      </w:r>
    </w:p>
    <w:p w14:paraId="0F67B4DC" w14:textId="77777777" w:rsidR="00A04C18" w:rsidRPr="00530501" w:rsidRDefault="00A04C18" w:rsidP="00A04C18">
      <w:pPr>
        <w:pStyle w:val="ListParagraph"/>
        <w:numPr>
          <w:ilvl w:val="0"/>
          <w:numId w:val="16"/>
        </w:numPr>
        <w:contextualSpacing/>
      </w:pPr>
      <w:r w:rsidRPr="00530501">
        <w:t xml:space="preserve">accident or injury </w:t>
      </w:r>
    </w:p>
    <w:p w14:paraId="18920BA7" w14:textId="77777777" w:rsidR="00A04C18" w:rsidRPr="00530501" w:rsidRDefault="00A04C18" w:rsidP="00A04C18">
      <w:pPr>
        <w:pStyle w:val="ListParagraph"/>
        <w:numPr>
          <w:ilvl w:val="0"/>
          <w:numId w:val="16"/>
        </w:numPr>
        <w:contextualSpacing/>
      </w:pPr>
      <w:r w:rsidRPr="00530501">
        <w:t>harassment</w:t>
      </w:r>
    </w:p>
    <w:p w14:paraId="35D5D432" w14:textId="77777777" w:rsidR="00A04C18" w:rsidRPr="00530501" w:rsidRDefault="00A04C18" w:rsidP="00A04C18">
      <w:pPr>
        <w:pStyle w:val="ListParagraph"/>
        <w:numPr>
          <w:ilvl w:val="0"/>
          <w:numId w:val="16"/>
        </w:numPr>
        <w:contextualSpacing/>
      </w:pPr>
      <w:r w:rsidRPr="00530501">
        <w:t>bullying</w:t>
      </w:r>
    </w:p>
    <w:p w14:paraId="673A436D" w14:textId="77777777" w:rsidR="00A04C18" w:rsidRPr="00530501" w:rsidRDefault="00A04C18" w:rsidP="00A04C18">
      <w:pPr>
        <w:pStyle w:val="ListParagraph"/>
        <w:numPr>
          <w:ilvl w:val="0"/>
          <w:numId w:val="16"/>
        </w:numPr>
        <w:contextualSpacing/>
      </w:pPr>
      <w:r w:rsidRPr="00530501">
        <w:t>misconduct</w:t>
      </w:r>
    </w:p>
    <w:p w14:paraId="41398E74" w14:textId="77777777" w:rsidR="00A04C18" w:rsidRPr="00530501" w:rsidRDefault="00A04C18" w:rsidP="00A04C18">
      <w:pPr>
        <w:pStyle w:val="ListParagraph"/>
        <w:numPr>
          <w:ilvl w:val="0"/>
          <w:numId w:val="16"/>
        </w:numPr>
        <w:contextualSpacing/>
      </w:pPr>
      <w:r w:rsidRPr="00530501">
        <w:t>sexual harassment</w:t>
      </w:r>
    </w:p>
    <w:p w14:paraId="581ADA85" w14:textId="77777777" w:rsidR="00A04C18" w:rsidRPr="00530501" w:rsidRDefault="00A04C18" w:rsidP="00A04C18">
      <w:pPr>
        <w:pStyle w:val="ListParagraph"/>
        <w:numPr>
          <w:ilvl w:val="0"/>
          <w:numId w:val="16"/>
        </w:numPr>
        <w:contextualSpacing/>
      </w:pPr>
      <w:r w:rsidRPr="00530501">
        <w:t>racism</w:t>
      </w:r>
    </w:p>
    <w:p w14:paraId="193E0D1D" w14:textId="77777777" w:rsidR="00A04C18" w:rsidRPr="00530501" w:rsidRDefault="00A04C18" w:rsidP="00A04C18">
      <w:pPr>
        <w:pStyle w:val="ListParagraph"/>
        <w:numPr>
          <w:ilvl w:val="0"/>
          <w:numId w:val="16"/>
        </w:numPr>
        <w:contextualSpacing/>
      </w:pPr>
      <w:r w:rsidRPr="00530501">
        <w:t>conflict</w:t>
      </w:r>
    </w:p>
    <w:p w14:paraId="7C89E17B" w14:textId="77777777" w:rsidR="00A04C18" w:rsidRPr="00530501" w:rsidRDefault="00A04C18" w:rsidP="00A04C18">
      <w:pPr>
        <w:pStyle w:val="ListParagraph"/>
        <w:numPr>
          <w:ilvl w:val="0"/>
          <w:numId w:val="16"/>
        </w:numPr>
        <w:contextualSpacing/>
      </w:pPr>
      <w:r w:rsidRPr="00530501">
        <w:t>theft</w:t>
      </w:r>
    </w:p>
    <w:p w14:paraId="509C249E" w14:textId="77777777" w:rsidR="00A04C18" w:rsidRPr="00530501" w:rsidRDefault="00A04C18" w:rsidP="00A04C18">
      <w:pPr>
        <w:pStyle w:val="ListParagraph"/>
        <w:numPr>
          <w:ilvl w:val="0"/>
          <w:numId w:val="16"/>
        </w:numPr>
        <w:contextualSpacing/>
      </w:pPr>
      <w:r w:rsidRPr="00530501">
        <w:t xml:space="preserve">brief interruption to the supply of a utility </w:t>
      </w:r>
    </w:p>
    <w:p w14:paraId="1135A1D6" w14:textId="77777777" w:rsidR="00A04C18" w:rsidRPr="00530501" w:rsidRDefault="00A04C18" w:rsidP="00A04C18">
      <w:pPr>
        <w:pStyle w:val="ListParagraph"/>
        <w:numPr>
          <w:ilvl w:val="0"/>
          <w:numId w:val="16"/>
        </w:numPr>
        <w:contextualSpacing/>
      </w:pPr>
      <w:r w:rsidRPr="00530501">
        <w:t>intruders</w:t>
      </w:r>
    </w:p>
    <w:p w14:paraId="518E3973" w14:textId="77777777" w:rsidR="00A04C18" w:rsidRPr="00530501" w:rsidRDefault="00A04C18" w:rsidP="00A04C18">
      <w:pPr>
        <w:pStyle w:val="ListParagraph"/>
        <w:numPr>
          <w:ilvl w:val="0"/>
          <w:numId w:val="16"/>
        </w:numPr>
        <w:contextualSpacing/>
      </w:pPr>
      <w:r w:rsidRPr="00530501">
        <w:t>first aid</w:t>
      </w:r>
    </w:p>
    <w:p w14:paraId="583EDF25" w14:textId="77777777" w:rsidR="00A04C18" w:rsidRPr="00530501" w:rsidRDefault="00A04C18" w:rsidP="00A04C18">
      <w:pPr>
        <w:pStyle w:val="ListParagraph"/>
        <w:numPr>
          <w:ilvl w:val="0"/>
          <w:numId w:val="16"/>
        </w:numPr>
        <w:contextualSpacing/>
      </w:pPr>
      <w:r w:rsidRPr="00530501">
        <w:t>minor flooding</w:t>
      </w:r>
    </w:p>
    <w:p w14:paraId="7F037DA2" w14:textId="77777777" w:rsidR="00A04C18" w:rsidRPr="00530501" w:rsidRDefault="00A04C18" w:rsidP="00A04C18">
      <w:pPr>
        <w:pStyle w:val="ListParagraph"/>
        <w:numPr>
          <w:ilvl w:val="0"/>
          <w:numId w:val="16"/>
        </w:numPr>
        <w:contextualSpacing/>
      </w:pPr>
      <w:r w:rsidRPr="00530501">
        <w:t>minor property damage</w:t>
      </w:r>
    </w:p>
    <w:p w14:paraId="43F79EF8" w14:textId="77777777" w:rsidR="00A04C18" w:rsidRPr="00530501" w:rsidRDefault="00A04C18" w:rsidP="00A04C18">
      <w:pPr>
        <w:pStyle w:val="ListParagraph"/>
        <w:numPr>
          <w:ilvl w:val="0"/>
          <w:numId w:val="16"/>
        </w:numPr>
        <w:contextualSpacing/>
      </w:pPr>
      <w:r w:rsidRPr="00530501">
        <w:t>absenteeism.</w:t>
      </w:r>
    </w:p>
    <w:p w14:paraId="0D9A7853" w14:textId="77777777" w:rsidR="00A04C18" w:rsidRPr="00530501" w:rsidRDefault="00A04C18" w:rsidP="00A04C18">
      <w:pPr>
        <w:autoSpaceDE w:val="0"/>
        <w:autoSpaceDN w:val="0"/>
        <w:adjustRightInd w:val="0"/>
        <w:ind w:left="851"/>
        <w:rPr>
          <w:rFonts w:asciiTheme="minorHAnsi" w:hAnsiTheme="minorHAnsi" w:cstheme="minorHAnsi"/>
          <w:b/>
        </w:rPr>
      </w:pPr>
    </w:p>
    <w:p w14:paraId="7A06AEAA" w14:textId="3BFC145A" w:rsidR="00A04C18" w:rsidRDefault="00A04C18" w:rsidP="00A04C18">
      <w:pPr>
        <w:autoSpaceDE w:val="0"/>
        <w:autoSpaceDN w:val="0"/>
        <w:adjustRightInd w:val="0"/>
        <w:rPr>
          <w:rFonts w:asciiTheme="minorHAnsi" w:hAnsiTheme="minorHAnsi" w:cstheme="minorHAnsi"/>
          <w:b/>
        </w:rPr>
      </w:pPr>
      <w:r w:rsidRPr="00530501">
        <w:rPr>
          <w:rFonts w:asciiTheme="minorHAnsi" w:hAnsiTheme="minorHAnsi" w:cstheme="minorHAnsi"/>
          <w:b/>
        </w:rPr>
        <w:t>Any non-critical incident that deteriorates, resulting in serious injury or harm, puts the safety of students, staff or visitors at significant risk, or poses a real threat to property or the school environment, should be treated as a Critical Incident and reported immediately to the Directorate.</w:t>
      </w:r>
    </w:p>
    <w:p w14:paraId="50A5A5C6" w14:textId="7DD5780A" w:rsidR="00A04C18" w:rsidRDefault="00A04C18" w:rsidP="00A04C18">
      <w:pPr>
        <w:autoSpaceDE w:val="0"/>
        <w:autoSpaceDN w:val="0"/>
        <w:adjustRightInd w:val="0"/>
        <w:rPr>
          <w:rFonts w:asciiTheme="minorHAnsi" w:hAnsiTheme="minorHAnsi" w:cstheme="minorHAnsi"/>
          <w:b/>
        </w:rPr>
      </w:pPr>
    </w:p>
    <w:p w14:paraId="3E63A47F" w14:textId="77777777" w:rsidR="00A04C18" w:rsidRPr="00A04C18" w:rsidRDefault="00A04C18" w:rsidP="00A04C18">
      <w:pPr>
        <w:pStyle w:val="NormalWeb"/>
        <w:shd w:val="clear" w:color="auto" w:fill="FFFFFF"/>
        <w:spacing w:before="0" w:beforeAutospacing="0" w:after="225" w:afterAutospacing="0"/>
        <w:rPr>
          <w:rFonts w:asciiTheme="minorHAnsi" w:hAnsiTheme="minorHAnsi" w:cstheme="minorHAnsi"/>
          <w:sz w:val="22"/>
          <w:szCs w:val="22"/>
        </w:rPr>
      </w:pPr>
      <w:r w:rsidRPr="00A04C18">
        <w:rPr>
          <w:rFonts w:asciiTheme="minorHAnsi" w:hAnsiTheme="minorHAnsi" w:cstheme="minorHAnsi"/>
          <w:sz w:val="22"/>
          <w:szCs w:val="22"/>
        </w:rPr>
        <w:lastRenderedPageBreak/>
        <w:t>Children’s Education and Care Assurance, Early Childhood Policy and Regulation, Education Directorate, ACT Government.</w:t>
      </w:r>
    </w:p>
    <w:tbl>
      <w:tblPr>
        <w:tblW w:w="8360" w:type="dxa"/>
        <w:tblBorders>
          <w:bottom w:val="single" w:sz="12" w:space="0" w:color="00538A"/>
        </w:tblBorders>
        <w:shd w:val="clear" w:color="auto" w:fill="FFFFFF"/>
        <w:tblCellMar>
          <w:left w:w="0" w:type="dxa"/>
          <w:right w:w="0" w:type="dxa"/>
        </w:tblCellMar>
        <w:tblLook w:val="04A0" w:firstRow="1" w:lastRow="0" w:firstColumn="1" w:lastColumn="0" w:noHBand="0" w:noVBand="1"/>
      </w:tblPr>
      <w:tblGrid>
        <w:gridCol w:w="2865"/>
        <w:gridCol w:w="5495"/>
      </w:tblGrid>
      <w:tr w:rsidR="00A04C18" w14:paraId="7C0FC89F" w14:textId="77777777" w:rsidTr="00A04C18">
        <w:tc>
          <w:tcPr>
            <w:tcW w:w="0" w:type="auto"/>
            <w:tcBorders>
              <w:left w:val="nil"/>
            </w:tcBorders>
            <w:shd w:val="clear" w:color="auto" w:fill="FFFFFF"/>
            <w:tcMar>
              <w:top w:w="120" w:type="dxa"/>
              <w:left w:w="120" w:type="dxa"/>
              <w:bottom w:w="120" w:type="dxa"/>
              <w:right w:w="120" w:type="dxa"/>
            </w:tcMar>
            <w:hideMark/>
          </w:tcPr>
          <w:p w14:paraId="310563AA" w14:textId="77777777" w:rsidR="00A04C18" w:rsidRPr="00A04C18" w:rsidRDefault="00A04C18">
            <w:pPr>
              <w:pStyle w:val="NormalWeb"/>
              <w:spacing w:before="0" w:beforeAutospacing="0" w:after="225" w:afterAutospacing="0"/>
              <w:rPr>
                <w:rFonts w:asciiTheme="minorHAnsi" w:hAnsiTheme="minorHAnsi" w:cstheme="minorHAnsi"/>
                <w:sz w:val="22"/>
                <w:szCs w:val="22"/>
              </w:rPr>
            </w:pPr>
            <w:r w:rsidRPr="00A04C18">
              <w:rPr>
                <w:rFonts w:asciiTheme="minorHAnsi" w:hAnsiTheme="minorHAnsi" w:cstheme="minorHAnsi"/>
                <w:b/>
                <w:bCs/>
                <w:sz w:val="22"/>
                <w:szCs w:val="22"/>
              </w:rPr>
              <w:t>Address:</w:t>
            </w:r>
            <w:r w:rsidRPr="00A04C18">
              <w:rPr>
                <w:rFonts w:asciiTheme="minorHAnsi" w:hAnsiTheme="minorHAnsi" w:cstheme="minorHAnsi"/>
                <w:sz w:val="22"/>
                <w:szCs w:val="22"/>
              </w:rPr>
              <w:br/>
              <w:t>GPO Box 158</w:t>
            </w:r>
            <w:r w:rsidRPr="00A04C18">
              <w:rPr>
                <w:rFonts w:asciiTheme="minorHAnsi" w:hAnsiTheme="minorHAnsi" w:cstheme="minorHAnsi"/>
                <w:sz w:val="22"/>
                <w:szCs w:val="22"/>
              </w:rPr>
              <w:br/>
              <w:t>CANBERRA ACT 2601</w:t>
            </w:r>
          </w:p>
        </w:tc>
        <w:tc>
          <w:tcPr>
            <w:tcW w:w="0" w:type="auto"/>
            <w:tcBorders>
              <w:right w:val="nil"/>
            </w:tcBorders>
            <w:shd w:val="clear" w:color="auto" w:fill="FFFFFF"/>
            <w:tcMar>
              <w:top w:w="120" w:type="dxa"/>
              <w:left w:w="120" w:type="dxa"/>
              <w:bottom w:w="120" w:type="dxa"/>
              <w:right w:w="120" w:type="dxa"/>
            </w:tcMar>
            <w:hideMark/>
          </w:tcPr>
          <w:p w14:paraId="36CD4654" w14:textId="77777777" w:rsidR="00A04C18" w:rsidRPr="00A04C18" w:rsidRDefault="00A04C18">
            <w:pPr>
              <w:pStyle w:val="NormalWeb"/>
              <w:spacing w:before="0" w:beforeAutospacing="0" w:after="225" w:afterAutospacing="0"/>
              <w:rPr>
                <w:rFonts w:asciiTheme="minorHAnsi" w:hAnsiTheme="minorHAnsi" w:cstheme="minorHAnsi"/>
                <w:sz w:val="22"/>
                <w:szCs w:val="22"/>
              </w:rPr>
            </w:pPr>
            <w:r w:rsidRPr="00A04C18">
              <w:rPr>
                <w:rFonts w:asciiTheme="minorHAnsi" w:hAnsiTheme="minorHAnsi" w:cstheme="minorHAnsi"/>
                <w:b/>
                <w:bCs/>
                <w:sz w:val="22"/>
                <w:szCs w:val="22"/>
              </w:rPr>
              <w:t>Website:</w:t>
            </w:r>
            <w:r w:rsidRPr="00A04C18">
              <w:rPr>
                <w:rFonts w:asciiTheme="minorHAnsi" w:hAnsiTheme="minorHAnsi" w:cstheme="minorHAnsi"/>
                <w:sz w:val="22"/>
                <w:szCs w:val="22"/>
              </w:rPr>
              <w:br/>
            </w:r>
            <w:hyperlink r:id="rId10" w:tgtFrame="_blank" w:history="1">
              <w:r w:rsidRPr="00A04C18">
                <w:rPr>
                  <w:rFonts w:asciiTheme="minorHAnsi" w:hAnsiTheme="minorHAnsi" w:cstheme="minorHAnsi"/>
                  <w:sz w:val="22"/>
                  <w:szCs w:val="22"/>
                </w:rPr>
                <w:t>www.education.act.gov.au(link is external)</w:t>
              </w:r>
            </w:hyperlink>
            <w:r w:rsidRPr="00A04C18">
              <w:rPr>
                <w:rFonts w:asciiTheme="minorHAnsi" w:hAnsiTheme="minorHAnsi" w:cstheme="minorHAnsi"/>
                <w:sz w:val="22"/>
                <w:szCs w:val="22"/>
              </w:rPr>
              <w:br/>
            </w:r>
            <w:r w:rsidRPr="00A04C18">
              <w:rPr>
                <w:rFonts w:asciiTheme="minorHAnsi" w:hAnsiTheme="minorHAnsi" w:cstheme="minorHAnsi"/>
                <w:b/>
                <w:bCs/>
                <w:sz w:val="22"/>
                <w:szCs w:val="22"/>
              </w:rPr>
              <w:t>Email:</w:t>
            </w:r>
            <w:r w:rsidRPr="00A04C18">
              <w:rPr>
                <w:rFonts w:asciiTheme="minorHAnsi" w:hAnsiTheme="minorHAnsi" w:cstheme="minorHAnsi"/>
                <w:sz w:val="22"/>
                <w:szCs w:val="22"/>
              </w:rPr>
              <w:br/>
            </w:r>
            <w:hyperlink r:id="rId11" w:history="1">
              <w:r w:rsidRPr="00A04C18">
                <w:rPr>
                  <w:rFonts w:asciiTheme="minorHAnsi" w:hAnsiTheme="minorHAnsi" w:cstheme="minorHAnsi"/>
                  <w:sz w:val="22"/>
                  <w:szCs w:val="22"/>
                </w:rPr>
                <w:t>ceca@act.gov.au(link sends email)</w:t>
              </w:r>
            </w:hyperlink>
            <w:r w:rsidRPr="00A04C18">
              <w:rPr>
                <w:rFonts w:asciiTheme="minorHAnsi" w:hAnsiTheme="minorHAnsi" w:cstheme="minorHAnsi"/>
                <w:sz w:val="22"/>
                <w:szCs w:val="22"/>
              </w:rPr>
              <w:br/>
            </w:r>
            <w:r w:rsidRPr="00A04C18">
              <w:rPr>
                <w:rFonts w:asciiTheme="minorHAnsi" w:hAnsiTheme="minorHAnsi" w:cstheme="minorHAnsi"/>
                <w:b/>
                <w:bCs/>
                <w:sz w:val="22"/>
                <w:szCs w:val="22"/>
              </w:rPr>
              <w:t>Phone:</w:t>
            </w:r>
            <w:r w:rsidRPr="00A04C18">
              <w:rPr>
                <w:rFonts w:asciiTheme="minorHAnsi" w:hAnsiTheme="minorHAnsi" w:cstheme="minorHAnsi"/>
                <w:sz w:val="22"/>
                <w:szCs w:val="22"/>
              </w:rPr>
              <w:br/>
              <w:t>(02) 6207 1114</w:t>
            </w:r>
            <w:r w:rsidRPr="00A04C18">
              <w:rPr>
                <w:rFonts w:asciiTheme="minorHAnsi" w:hAnsiTheme="minorHAnsi" w:cstheme="minorHAnsi"/>
                <w:sz w:val="22"/>
                <w:szCs w:val="22"/>
              </w:rPr>
              <w:br/>
            </w:r>
            <w:r w:rsidRPr="00A04C18">
              <w:rPr>
                <w:rFonts w:asciiTheme="minorHAnsi" w:hAnsiTheme="minorHAnsi" w:cstheme="minorHAnsi"/>
                <w:b/>
                <w:bCs/>
                <w:sz w:val="22"/>
                <w:szCs w:val="22"/>
              </w:rPr>
              <w:t>Fax:</w:t>
            </w:r>
            <w:r w:rsidRPr="00A04C18">
              <w:rPr>
                <w:rFonts w:asciiTheme="minorHAnsi" w:hAnsiTheme="minorHAnsi" w:cstheme="minorHAnsi"/>
                <w:sz w:val="22"/>
                <w:szCs w:val="22"/>
              </w:rPr>
              <w:br/>
              <w:t>(02) 6207 1128</w:t>
            </w:r>
          </w:p>
        </w:tc>
      </w:tr>
    </w:tbl>
    <w:p w14:paraId="016B130B" w14:textId="77777777" w:rsidR="00A04C18" w:rsidRPr="00530501" w:rsidRDefault="00A04C18" w:rsidP="00A04C18">
      <w:pPr>
        <w:autoSpaceDE w:val="0"/>
        <w:autoSpaceDN w:val="0"/>
        <w:adjustRightInd w:val="0"/>
        <w:rPr>
          <w:rFonts w:asciiTheme="minorHAnsi" w:hAnsiTheme="minorHAnsi" w:cstheme="minorHAnsi"/>
          <w:b/>
        </w:rPr>
      </w:pPr>
    </w:p>
    <w:p w14:paraId="20D0C659" w14:textId="7CA8D2C8" w:rsidR="00B20AAA" w:rsidRPr="008850BC" w:rsidRDefault="002B5F4D" w:rsidP="00B20AAA">
      <w:pPr>
        <w:rPr>
          <w:rFonts w:asciiTheme="minorHAnsi" w:hAnsiTheme="minorHAnsi" w:cstheme="minorHAnsi"/>
        </w:rPr>
      </w:pPr>
      <w:hyperlink r:id="rId12" w:history="1">
        <w:r w:rsidR="006A1859" w:rsidRPr="009F6A8C">
          <w:rPr>
            <w:rStyle w:val="Hyperlink"/>
            <w:rFonts w:asciiTheme="minorHAnsi" w:hAnsiTheme="minorHAnsi" w:cstheme="minorHAnsi"/>
          </w:rPr>
          <w:t>https://www.education.act.gov.au/early-childhood/information-for-businesses-and-employees?a=1186387</w:t>
        </w:r>
      </w:hyperlink>
      <w:r w:rsidR="006A1859">
        <w:rPr>
          <w:rFonts w:asciiTheme="minorHAnsi" w:hAnsiTheme="minorHAnsi" w:cstheme="minorHAnsi"/>
        </w:rPr>
        <w:t xml:space="preserve"> </w:t>
      </w:r>
    </w:p>
    <w:sectPr w:rsidR="00B20AAA" w:rsidRPr="008850BC" w:rsidSect="008850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363B"/>
    <w:multiLevelType w:val="hybridMultilevel"/>
    <w:tmpl w:val="54989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D0936FF"/>
    <w:multiLevelType w:val="hybridMultilevel"/>
    <w:tmpl w:val="9B52FDBA"/>
    <w:lvl w:ilvl="0" w:tplc="5082F5C8">
      <w:numFmt w:val="bullet"/>
      <w:lvlText w:val="-"/>
      <w:lvlJc w:val="left"/>
      <w:pPr>
        <w:ind w:left="720" w:hanging="360"/>
      </w:pPr>
      <w:rPr>
        <w:rFonts w:ascii="Calibri" w:eastAsia="Calibri"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E6D13F6"/>
    <w:multiLevelType w:val="hybridMultilevel"/>
    <w:tmpl w:val="05284F94"/>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0FA6009A"/>
    <w:multiLevelType w:val="hybridMultilevel"/>
    <w:tmpl w:val="D05E28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0FFF4F1F"/>
    <w:multiLevelType w:val="hybridMultilevel"/>
    <w:tmpl w:val="47C6CD2A"/>
    <w:lvl w:ilvl="0" w:tplc="0C090001">
      <w:start w:val="1"/>
      <w:numFmt w:val="bullet"/>
      <w:lvlText w:val=""/>
      <w:lvlJc w:val="left"/>
      <w:pPr>
        <w:ind w:left="720" w:hanging="360"/>
      </w:pPr>
      <w:rPr>
        <w:rFonts w:ascii="Symbol" w:hAnsi="Symbol" w:hint="default"/>
      </w:rPr>
    </w:lvl>
    <w:lvl w:ilvl="1" w:tplc="0C090003">
      <w:start w:val="1"/>
      <w:numFmt w:val="bullet"/>
      <w:pStyle w:val="ExplanatoryTex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8C008F6"/>
    <w:multiLevelType w:val="hybridMultilevel"/>
    <w:tmpl w:val="EF3ECC6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29F55515"/>
    <w:multiLevelType w:val="hybridMultilevel"/>
    <w:tmpl w:val="8800D52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2B396D4F"/>
    <w:multiLevelType w:val="hybridMultilevel"/>
    <w:tmpl w:val="05328F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BEE13C0"/>
    <w:multiLevelType w:val="hybridMultilevel"/>
    <w:tmpl w:val="A28436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D48601C"/>
    <w:multiLevelType w:val="multilevel"/>
    <w:tmpl w:val="B948AC4A"/>
    <w:lvl w:ilvl="0">
      <w:start w:val="1"/>
      <w:numFmt w:val="decimal"/>
      <w:lvlText w:val="%1."/>
      <w:lvlJc w:val="left"/>
      <w:pPr>
        <w:ind w:left="851" w:hanging="851"/>
      </w:pPr>
      <w:rPr>
        <w:rFonts w:hint="default"/>
        <w:b/>
      </w:rPr>
    </w:lvl>
    <w:lvl w:ilvl="1">
      <w:start w:val="1"/>
      <w:numFmt w:val="decimal"/>
      <w:lvlText w:val="%1.%2."/>
      <w:lvlJc w:val="left"/>
      <w:pPr>
        <w:ind w:left="851" w:hanging="851"/>
      </w:pPr>
      <w:rPr>
        <w:rFonts w:hint="default"/>
        <w:b w:val="0"/>
        <w:i w:val="0"/>
        <w:sz w:val="22"/>
        <w:szCs w:val="22"/>
      </w:rPr>
    </w:lvl>
    <w:lvl w:ilvl="2">
      <w:start w:val="1"/>
      <w:numFmt w:val="decimal"/>
      <w:lvlText w:val="%1.%2.%3."/>
      <w:lvlJc w:val="left"/>
      <w:pPr>
        <w:ind w:left="851" w:hanging="851"/>
      </w:pPr>
      <w:rPr>
        <w:rFonts w:hint="default"/>
        <w:b w:val="0"/>
        <w:i w:val="0"/>
      </w:rPr>
    </w:lvl>
    <w:lvl w:ilvl="3">
      <w:start w:val="1"/>
      <w:numFmt w:val="decimal"/>
      <w:lvlText w:val="%1.%2.%3.%4."/>
      <w:lvlJc w:val="left"/>
      <w:pPr>
        <w:ind w:left="851" w:hanging="851"/>
      </w:pPr>
      <w:rPr>
        <w:rFonts w:hint="default"/>
        <w:b w:val="0"/>
        <w:i w:val="0"/>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0" w15:restartNumberingAfterBreak="0">
    <w:nsid w:val="2DEC7807"/>
    <w:multiLevelType w:val="hybridMultilevel"/>
    <w:tmpl w:val="037047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BF9727C"/>
    <w:multiLevelType w:val="hybridMultilevel"/>
    <w:tmpl w:val="0F349C26"/>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12" w15:restartNumberingAfterBreak="0">
    <w:nsid w:val="407D488B"/>
    <w:multiLevelType w:val="hybridMultilevel"/>
    <w:tmpl w:val="5A945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093299"/>
    <w:multiLevelType w:val="multilevel"/>
    <w:tmpl w:val="8E5CF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B77378"/>
    <w:multiLevelType w:val="hybridMultilevel"/>
    <w:tmpl w:val="193EB66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5" w15:restartNumberingAfterBreak="0">
    <w:nsid w:val="573266FB"/>
    <w:multiLevelType w:val="hybridMultilevel"/>
    <w:tmpl w:val="116CBF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67A97F0B"/>
    <w:multiLevelType w:val="hybridMultilevel"/>
    <w:tmpl w:val="1D36E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5F6B27"/>
    <w:multiLevelType w:val="hybridMultilevel"/>
    <w:tmpl w:val="7F6E2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06735828">
    <w:abstractNumId w:val="2"/>
  </w:num>
  <w:num w:numId="2" w16cid:durableId="1412196408">
    <w:abstractNumId w:val="4"/>
  </w:num>
  <w:num w:numId="3" w16cid:durableId="1527059096">
    <w:abstractNumId w:val="8"/>
  </w:num>
  <w:num w:numId="4" w16cid:durableId="1767925592">
    <w:abstractNumId w:val="10"/>
  </w:num>
  <w:num w:numId="5" w16cid:durableId="1907379893">
    <w:abstractNumId w:val="0"/>
  </w:num>
  <w:num w:numId="6" w16cid:durableId="1069958506">
    <w:abstractNumId w:val="15"/>
  </w:num>
  <w:num w:numId="7" w16cid:durableId="5907430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91746047">
    <w:abstractNumId w:val="1"/>
  </w:num>
  <w:num w:numId="9" w16cid:durableId="2054888783">
    <w:abstractNumId w:val="12"/>
  </w:num>
  <w:num w:numId="10" w16cid:durableId="100954794">
    <w:abstractNumId w:val="7"/>
  </w:num>
  <w:num w:numId="11" w16cid:durableId="1805081141">
    <w:abstractNumId w:val="11"/>
  </w:num>
  <w:num w:numId="12" w16cid:durableId="1992635081">
    <w:abstractNumId w:val="3"/>
  </w:num>
  <w:num w:numId="13" w16cid:durableId="735665743">
    <w:abstractNumId w:val="17"/>
  </w:num>
  <w:num w:numId="14" w16cid:durableId="1006596118">
    <w:abstractNumId w:val="13"/>
  </w:num>
  <w:num w:numId="15" w16cid:durableId="3015902">
    <w:abstractNumId w:val="9"/>
  </w:num>
  <w:num w:numId="16" w16cid:durableId="765731779">
    <w:abstractNumId w:val="14"/>
  </w:num>
  <w:num w:numId="17" w16cid:durableId="328140827">
    <w:abstractNumId w:val="6"/>
  </w:num>
  <w:num w:numId="18" w16cid:durableId="1794522916">
    <w:abstractNumId w:val="5"/>
  </w:num>
  <w:num w:numId="19" w16cid:durableId="6178354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15F"/>
    <w:rsid w:val="00001938"/>
    <w:rsid w:val="00052434"/>
    <w:rsid w:val="000D6508"/>
    <w:rsid w:val="000D6F34"/>
    <w:rsid w:val="000E38A0"/>
    <w:rsid w:val="001228E7"/>
    <w:rsid w:val="00127379"/>
    <w:rsid w:val="0019239D"/>
    <w:rsid w:val="001A1CEC"/>
    <w:rsid w:val="001C4623"/>
    <w:rsid w:val="001C75AF"/>
    <w:rsid w:val="001D398E"/>
    <w:rsid w:val="001E2A27"/>
    <w:rsid w:val="0021685F"/>
    <w:rsid w:val="00234562"/>
    <w:rsid w:val="00250D02"/>
    <w:rsid w:val="00257016"/>
    <w:rsid w:val="002A71A0"/>
    <w:rsid w:val="002B5F4D"/>
    <w:rsid w:val="00353F7B"/>
    <w:rsid w:val="00371E19"/>
    <w:rsid w:val="00382D44"/>
    <w:rsid w:val="003A5A21"/>
    <w:rsid w:val="003B05CB"/>
    <w:rsid w:val="0040344C"/>
    <w:rsid w:val="0043713F"/>
    <w:rsid w:val="0044496A"/>
    <w:rsid w:val="00480C00"/>
    <w:rsid w:val="00491187"/>
    <w:rsid w:val="00491BC9"/>
    <w:rsid w:val="00500338"/>
    <w:rsid w:val="0051142F"/>
    <w:rsid w:val="0053204E"/>
    <w:rsid w:val="005A099A"/>
    <w:rsid w:val="005E2FB8"/>
    <w:rsid w:val="00680774"/>
    <w:rsid w:val="006A1859"/>
    <w:rsid w:val="00784B24"/>
    <w:rsid w:val="00793FA6"/>
    <w:rsid w:val="007B7418"/>
    <w:rsid w:val="007C1083"/>
    <w:rsid w:val="007D5B71"/>
    <w:rsid w:val="00814C73"/>
    <w:rsid w:val="00816EF1"/>
    <w:rsid w:val="0085549D"/>
    <w:rsid w:val="00866324"/>
    <w:rsid w:val="008850BC"/>
    <w:rsid w:val="00890AD2"/>
    <w:rsid w:val="00893402"/>
    <w:rsid w:val="0089740E"/>
    <w:rsid w:val="008A6BFD"/>
    <w:rsid w:val="008C4EFA"/>
    <w:rsid w:val="009179F7"/>
    <w:rsid w:val="00955204"/>
    <w:rsid w:val="00984451"/>
    <w:rsid w:val="0099015F"/>
    <w:rsid w:val="00991741"/>
    <w:rsid w:val="009C618A"/>
    <w:rsid w:val="009E3957"/>
    <w:rsid w:val="009F2C6F"/>
    <w:rsid w:val="00A04C18"/>
    <w:rsid w:val="00A47B13"/>
    <w:rsid w:val="00A60E14"/>
    <w:rsid w:val="00AC12F6"/>
    <w:rsid w:val="00AD4BC6"/>
    <w:rsid w:val="00AD4CC5"/>
    <w:rsid w:val="00B20AAA"/>
    <w:rsid w:val="00B314AE"/>
    <w:rsid w:val="00B7651B"/>
    <w:rsid w:val="00BB635E"/>
    <w:rsid w:val="00BB7368"/>
    <w:rsid w:val="00BE0C7F"/>
    <w:rsid w:val="00C53F33"/>
    <w:rsid w:val="00C638AC"/>
    <w:rsid w:val="00C767E0"/>
    <w:rsid w:val="00CE5388"/>
    <w:rsid w:val="00CE744E"/>
    <w:rsid w:val="00D43463"/>
    <w:rsid w:val="00D54803"/>
    <w:rsid w:val="00D96B76"/>
    <w:rsid w:val="00DB5CF5"/>
    <w:rsid w:val="00DE3E3F"/>
    <w:rsid w:val="00E22BC8"/>
    <w:rsid w:val="00E56FF1"/>
    <w:rsid w:val="00E608B8"/>
    <w:rsid w:val="00E75D04"/>
    <w:rsid w:val="00E84032"/>
    <w:rsid w:val="00E86FFC"/>
    <w:rsid w:val="00E91A54"/>
    <w:rsid w:val="00EB5F9E"/>
    <w:rsid w:val="00EC5B5F"/>
    <w:rsid w:val="00ED7F12"/>
    <w:rsid w:val="00EE1D51"/>
    <w:rsid w:val="00F01515"/>
    <w:rsid w:val="00F10616"/>
    <w:rsid w:val="00F60604"/>
    <w:rsid w:val="00F8178F"/>
    <w:rsid w:val="00FB5E40"/>
    <w:rsid w:val="00FD22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6286"/>
  <w15:docId w15:val="{58B0E07A-C523-400F-AD31-82D09245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7E0"/>
    <w:pPr>
      <w:spacing w:after="0" w:line="240" w:lineRule="auto"/>
      <w:contextualSpacing/>
    </w:pPr>
    <w:rPr>
      <w:rFonts w:ascii="Calibri" w:eastAsia="Times New Roman" w:hAnsi="Calibri" w:cs="Calibri"/>
    </w:rPr>
  </w:style>
  <w:style w:type="paragraph" w:styleId="Heading1">
    <w:name w:val="heading 1"/>
    <w:basedOn w:val="Normal"/>
    <w:next w:val="Normal"/>
    <w:link w:val="Heading1Char"/>
    <w:uiPriority w:val="9"/>
    <w:qFormat/>
    <w:rsid w:val="00A04C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A04C18"/>
    <w:pPr>
      <w:keepNext w:val="0"/>
      <w:keepLines w:val="0"/>
      <w:spacing w:before="0"/>
      <w:ind w:left="851" w:hanging="851"/>
      <w:outlineLvl w:val="1"/>
    </w:pPr>
    <w:rPr>
      <w:rFonts w:ascii="Calibri" w:eastAsia="Times New Roman" w:hAnsi="Calibri" w:cs="Calibri"/>
      <w:b/>
      <w:bCs/>
      <w:color w:val="auto"/>
      <w:sz w:val="22"/>
      <w:szCs w:val="22"/>
    </w:rPr>
  </w:style>
  <w:style w:type="paragraph" w:styleId="Heading3">
    <w:name w:val="heading 3"/>
    <w:basedOn w:val="Normal"/>
    <w:next w:val="Normal"/>
    <w:link w:val="Heading3Char"/>
    <w:uiPriority w:val="9"/>
    <w:unhideWhenUsed/>
    <w:qFormat/>
    <w:rsid w:val="00A04C18"/>
    <w:pPr>
      <w:ind w:left="851" w:hanging="851"/>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67E0"/>
    <w:rPr>
      <w:color w:val="0000FF"/>
      <w:u w:val="single"/>
    </w:rPr>
  </w:style>
  <w:style w:type="paragraph" w:styleId="BalloonText">
    <w:name w:val="Balloon Text"/>
    <w:basedOn w:val="Normal"/>
    <w:link w:val="BalloonTextChar"/>
    <w:uiPriority w:val="99"/>
    <w:semiHidden/>
    <w:unhideWhenUsed/>
    <w:rsid w:val="00C767E0"/>
    <w:rPr>
      <w:rFonts w:ascii="Tahoma" w:hAnsi="Tahoma" w:cs="Tahoma"/>
      <w:sz w:val="16"/>
      <w:szCs w:val="16"/>
    </w:rPr>
  </w:style>
  <w:style w:type="character" w:customStyle="1" w:styleId="BalloonTextChar">
    <w:name w:val="Balloon Text Char"/>
    <w:basedOn w:val="DefaultParagraphFont"/>
    <w:link w:val="BalloonText"/>
    <w:uiPriority w:val="99"/>
    <w:semiHidden/>
    <w:rsid w:val="00C767E0"/>
    <w:rPr>
      <w:rFonts w:ascii="Tahoma" w:eastAsia="Times New Roman" w:hAnsi="Tahoma" w:cs="Tahoma"/>
      <w:sz w:val="16"/>
      <w:szCs w:val="16"/>
    </w:rPr>
  </w:style>
  <w:style w:type="paragraph" w:styleId="ListParagraph">
    <w:name w:val="List Paragraph"/>
    <w:basedOn w:val="Normal"/>
    <w:uiPriority w:val="34"/>
    <w:qFormat/>
    <w:rsid w:val="00E22BC8"/>
    <w:pPr>
      <w:ind w:left="720"/>
      <w:contextualSpacing w:val="0"/>
    </w:pPr>
    <w:rPr>
      <w:rFonts w:eastAsiaTheme="minorHAnsi" w:cs="Times New Roman"/>
    </w:rPr>
  </w:style>
  <w:style w:type="paragraph" w:styleId="Header">
    <w:name w:val="header"/>
    <w:basedOn w:val="Normal"/>
    <w:link w:val="HeaderChar"/>
    <w:semiHidden/>
    <w:unhideWhenUsed/>
    <w:rsid w:val="00893402"/>
    <w:pPr>
      <w:tabs>
        <w:tab w:val="center" w:pos="4513"/>
        <w:tab w:val="right" w:pos="9026"/>
      </w:tabs>
      <w:contextualSpacing w:val="0"/>
      <w:jc w:val="center"/>
    </w:pPr>
    <w:rPr>
      <w:rFonts w:asciiTheme="minorHAnsi" w:eastAsiaTheme="minorHAnsi" w:hAnsiTheme="minorHAnsi" w:cstheme="minorBidi"/>
    </w:rPr>
  </w:style>
  <w:style w:type="character" w:customStyle="1" w:styleId="HeaderChar">
    <w:name w:val="Header Char"/>
    <w:basedOn w:val="DefaultParagraphFont"/>
    <w:link w:val="Header"/>
    <w:semiHidden/>
    <w:rsid w:val="00893402"/>
  </w:style>
  <w:style w:type="character" w:styleId="UnresolvedMention">
    <w:name w:val="Unresolved Mention"/>
    <w:basedOn w:val="DefaultParagraphFont"/>
    <w:uiPriority w:val="99"/>
    <w:semiHidden/>
    <w:unhideWhenUsed/>
    <w:rsid w:val="008850BC"/>
    <w:rPr>
      <w:color w:val="605E5C"/>
      <w:shd w:val="clear" w:color="auto" w:fill="E1DFDD"/>
    </w:rPr>
  </w:style>
  <w:style w:type="paragraph" w:styleId="NormalWeb">
    <w:name w:val="Normal (Web)"/>
    <w:basedOn w:val="Normal"/>
    <w:uiPriority w:val="99"/>
    <w:semiHidden/>
    <w:unhideWhenUsed/>
    <w:rsid w:val="008A6BFD"/>
    <w:pPr>
      <w:spacing w:before="100" w:beforeAutospacing="1" w:after="100" w:afterAutospacing="1"/>
      <w:contextualSpacing w:val="0"/>
    </w:pPr>
    <w:rPr>
      <w:rFonts w:ascii="Times New Roman" w:hAnsi="Times New Roman" w:cs="Times New Roman"/>
      <w:sz w:val="24"/>
      <w:szCs w:val="24"/>
      <w:lang w:eastAsia="en-AU"/>
    </w:rPr>
  </w:style>
  <w:style w:type="character" w:customStyle="1" w:styleId="Heading2Char">
    <w:name w:val="Heading 2 Char"/>
    <w:basedOn w:val="DefaultParagraphFont"/>
    <w:link w:val="Heading2"/>
    <w:rsid w:val="00A04C18"/>
    <w:rPr>
      <w:rFonts w:ascii="Calibri" w:eastAsia="Times New Roman" w:hAnsi="Calibri" w:cs="Calibri"/>
      <w:b/>
      <w:bCs/>
    </w:rPr>
  </w:style>
  <w:style w:type="character" w:customStyle="1" w:styleId="Heading3Char">
    <w:name w:val="Heading 3 Char"/>
    <w:basedOn w:val="DefaultParagraphFont"/>
    <w:link w:val="Heading3"/>
    <w:uiPriority w:val="9"/>
    <w:rsid w:val="00A04C18"/>
    <w:rPr>
      <w:rFonts w:ascii="Calibri" w:eastAsia="Times New Roman" w:hAnsi="Calibri" w:cs="Calibri"/>
      <w:b/>
    </w:rPr>
  </w:style>
  <w:style w:type="paragraph" w:customStyle="1" w:styleId="ExplanatoryText">
    <w:name w:val="Explanatory Text"/>
    <w:basedOn w:val="Normal"/>
    <w:link w:val="ExplanatoryTextChar"/>
    <w:qFormat/>
    <w:rsid w:val="00A04C18"/>
    <w:pPr>
      <w:numPr>
        <w:ilvl w:val="1"/>
        <w:numId w:val="2"/>
      </w:numPr>
    </w:pPr>
    <w:rPr>
      <w:b/>
    </w:rPr>
  </w:style>
  <w:style w:type="character" w:customStyle="1" w:styleId="ExplanatoryTextChar">
    <w:name w:val="Explanatory Text Char"/>
    <w:basedOn w:val="DefaultParagraphFont"/>
    <w:link w:val="ExplanatoryText"/>
    <w:rsid w:val="00A04C18"/>
    <w:rPr>
      <w:rFonts w:ascii="Calibri" w:eastAsia="Times New Roman" w:hAnsi="Calibri" w:cs="Calibri"/>
      <w:b/>
    </w:rPr>
  </w:style>
  <w:style w:type="paragraph" w:customStyle="1" w:styleId="BlankLine">
    <w:name w:val="Blank Line"/>
    <w:basedOn w:val="Normal"/>
    <w:link w:val="BlankLineChar"/>
    <w:qFormat/>
    <w:rsid w:val="00A04C18"/>
    <w:pPr>
      <w:ind w:left="851" w:hanging="851"/>
    </w:pPr>
  </w:style>
  <w:style w:type="character" w:customStyle="1" w:styleId="BlankLineChar">
    <w:name w:val="Blank Line Char"/>
    <w:basedOn w:val="DefaultParagraphFont"/>
    <w:link w:val="BlankLine"/>
    <w:rsid w:val="00A04C18"/>
    <w:rPr>
      <w:rFonts w:ascii="Calibri" w:eastAsia="Times New Roman" w:hAnsi="Calibri" w:cs="Calibri"/>
    </w:rPr>
  </w:style>
  <w:style w:type="character" w:styleId="Emphasis">
    <w:name w:val="Emphasis"/>
    <w:basedOn w:val="DefaultParagraphFont"/>
    <w:uiPriority w:val="20"/>
    <w:qFormat/>
    <w:rsid w:val="00A04C18"/>
    <w:rPr>
      <w:i/>
      <w:iCs/>
    </w:rPr>
  </w:style>
  <w:style w:type="character" w:customStyle="1" w:styleId="Heading1Char">
    <w:name w:val="Heading 1 Char"/>
    <w:basedOn w:val="DefaultParagraphFont"/>
    <w:link w:val="Heading1"/>
    <w:uiPriority w:val="9"/>
    <w:rsid w:val="00A04C18"/>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A04C18"/>
    <w:rPr>
      <w:b/>
      <w:bCs/>
    </w:rPr>
  </w:style>
  <w:style w:type="character" w:customStyle="1" w:styleId="visually-hidden">
    <w:name w:val="visually-hidden"/>
    <w:basedOn w:val="DefaultParagraphFont"/>
    <w:rsid w:val="00A04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5208">
      <w:bodyDiv w:val="1"/>
      <w:marLeft w:val="0"/>
      <w:marRight w:val="0"/>
      <w:marTop w:val="0"/>
      <w:marBottom w:val="0"/>
      <w:divBdr>
        <w:top w:val="none" w:sz="0" w:space="0" w:color="auto"/>
        <w:left w:val="none" w:sz="0" w:space="0" w:color="auto"/>
        <w:bottom w:val="none" w:sz="0" w:space="0" w:color="auto"/>
        <w:right w:val="none" w:sz="0" w:space="0" w:color="auto"/>
      </w:divBdr>
    </w:div>
    <w:div w:id="141120305">
      <w:bodyDiv w:val="1"/>
      <w:marLeft w:val="0"/>
      <w:marRight w:val="0"/>
      <w:marTop w:val="0"/>
      <w:marBottom w:val="0"/>
      <w:divBdr>
        <w:top w:val="none" w:sz="0" w:space="0" w:color="auto"/>
        <w:left w:val="none" w:sz="0" w:space="0" w:color="auto"/>
        <w:bottom w:val="none" w:sz="0" w:space="0" w:color="auto"/>
        <w:right w:val="none" w:sz="0" w:space="0" w:color="auto"/>
      </w:divBdr>
    </w:div>
    <w:div w:id="881671757">
      <w:bodyDiv w:val="1"/>
      <w:marLeft w:val="0"/>
      <w:marRight w:val="0"/>
      <w:marTop w:val="0"/>
      <w:marBottom w:val="0"/>
      <w:divBdr>
        <w:top w:val="none" w:sz="0" w:space="0" w:color="auto"/>
        <w:left w:val="none" w:sz="0" w:space="0" w:color="auto"/>
        <w:bottom w:val="none" w:sz="0" w:space="0" w:color="auto"/>
        <w:right w:val="none" w:sz="0" w:space="0" w:color="auto"/>
      </w:divBdr>
      <w:divsChild>
        <w:div w:id="837378523">
          <w:marLeft w:val="0"/>
          <w:marRight w:val="0"/>
          <w:marTop w:val="0"/>
          <w:marBottom w:val="0"/>
          <w:divBdr>
            <w:top w:val="none" w:sz="0" w:space="0" w:color="auto"/>
            <w:left w:val="none" w:sz="0" w:space="0" w:color="auto"/>
            <w:bottom w:val="none" w:sz="0" w:space="0" w:color="auto"/>
            <w:right w:val="none" w:sz="0" w:space="0" w:color="auto"/>
          </w:divBdr>
        </w:div>
      </w:divsChild>
    </w:div>
    <w:div w:id="955793961">
      <w:bodyDiv w:val="1"/>
      <w:marLeft w:val="0"/>
      <w:marRight w:val="0"/>
      <w:marTop w:val="0"/>
      <w:marBottom w:val="0"/>
      <w:divBdr>
        <w:top w:val="none" w:sz="0" w:space="0" w:color="auto"/>
        <w:left w:val="none" w:sz="0" w:space="0" w:color="auto"/>
        <w:bottom w:val="none" w:sz="0" w:space="0" w:color="auto"/>
        <w:right w:val="none" w:sz="0" w:space="0" w:color="auto"/>
      </w:divBdr>
    </w:div>
    <w:div w:id="1074932933">
      <w:bodyDiv w:val="1"/>
      <w:marLeft w:val="0"/>
      <w:marRight w:val="0"/>
      <w:marTop w:val="0"/>
      <w:marBottom w:val="0"/>
      <w:divBdr>
        <w:top w:val="none" w:sz="0" w:space="0" w:color="auto"/>
        <w:left w:val="none" w:sz="0" w:space="0" w:color="auto"/>
        <w:bottom w:val="none" w:sz="0" w:space="0" w:color="auto"/>
        <w:right w:val="none" w:sz="0" w:space="0" w:color="auto"/>
      </w:divBdr>
    </w:div>
    <w:div w:id="1156992814">
      <w:bodyDiv w:val="1"/>
      <w:marLeft w:val="0"/>
      <w:marRight w:val="0"/>
      <w:marTop w:val="0"/>
      <w:marBottom w:val="0"/>
      <w:divBdr>
        <w:top w:val="none" w:sz="0" w:space="0" w:color="auto"/>
        <w:left w:val="none" w:sz="0" w:space="0" w:color="auto"/>
        <w:bottom w:val="none" w:sz="0" w:space="0" w:color="auto"/>
        <w:right w:val="none" w:sz="0" w:space="0" w:color="auto"/>
      </w:divBdr>
    </w:div>
    <w:div w:id="1313219296">
      <w:bodyDiv w:val="1"/>
      <w:marLeft w:val="0"/>
      <w:marRight w:val="0"/>
      <w:marTop w:val="0"/>
      <w:marBottom w:val="0"/>
      <w:divBdr>
        <w:top w:val="none" w:sz="0" w:space="0" w:color="auto"/>
        <w:left w:val="none" w:sz="0" w:space="0" w:color="auto"/>
        <w:bottom w:val="none" w:sz="0" w:space="0" w:color="auto"/>
        <w:right w:val="none" w:sz="0" w:space="0" w:color="auto"/>
      </w:divBdr>
    </w:div>
    <w:div w:id="1314144226">
      <w:bodyDiv w:val="1"/>
      <w:marLeft w:val="0"/>
      <w:marRight w:val="0"/>
      <w:marTop w:val="0"/>
      <w:marBottom w:val="0"/>
      <w:divBdr>
        <w:top w:val="none" w:sz="0" w:space="0" w:color="auto"/>
        <w:left w:val="none" w:sz="0" w:space="0" w:color="auto"/>
        <w:bottom w:val="none" w:sz="0" w:space="0" w:color="auto"/>
        <w:right w:val="none" w:sz="0" w:space="0" w:color="auto"/>
      </w:divBdr>
    </w:div>
    <w:div w:id="1782454079">
      <w:bodyDiv w:val="1"/>
      <w:marLeft w:val="0"/>
      <w:marRight w:val="0"/>
      <w:marTop w:val="0"/>
      <w:marBottom w:val="0"/>
      <w:divBdr>
        <w:top w:val="none" w:sz="0" w:space="0" w:color="auto"/>
        <w:left w:val="none" w:sz="0" w:space="0" w:color="auto"/>
        <w:bottom w:val="none" w:sz="0" w:space="0" w:color="auto"/>
        <w:right w:val="none" w:sz="0" w:space="0" w:color="auto"/>
      </w:divBdr>
    </w:div>
    <w:div w:id="214192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2.png@01D22A14.E855DF20" TargetMode="External"/><Relationship Id="rId12" Type="http://schemas.openxmlformats.org/officeDocument/2006/relationships/hyperlink" Target="https://www.education.act.gov.au/early-childhood/information-for-businesses-and-employees?a=11863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ceca@act.gov.au" TargetMode="External"/><Relationship Id="rId5" Type="http://schemas.openxmlformats.org/officeDocument/2006/relationships/image" Target="media/image1.wmf"/><Relationship Id="rId10" Type="http://schemas.openxmlformats.org/officeDocument/2006/relationships/hyperlink" Target="http://www.education.act.gov.au/" TargetMode="External"/><Relationship Id="rId4" Type="http://schemas.openxmlformats.org/officeDocument/2006/relationships/webSettings" Target="webSettings.xml"/><Relationship Id="rId9" Type="http://schemas.openxmlformats.org/officeDocument/2006/relationships/hyperlink" Target="https://www.acecqa.gov.au/resources/national-quality-agenda-it-syste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Mozqueira, Alicia</dc:creator>
  <cp:lastModifiedBy>Singh, Hayley</cp:lastModifiedBy>
  <cp:revision>2</cp:revision>
  <cp:lastPrinted>2023-02-01T03:10:00Z</cp:lastPrinted>
  <dcterms:created xsi:type="dcterms:W3CDTF">2023-02-01T03:10:00Z</dcterms:created>
  <dcterms:modified xsi:type="dcterms:W3CDTF">2023-02-01T03:10:00Z</dcterms:modified>
</cp:coreProperties>
</file>