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7777777"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33A51015" w14:textId="77777777" w:rsidR="00793FA6" w:rsidRPr="00793FA6" w:rsidRDefault="00793FA6" w:rsidP="00793FA6">
      <w:pPr>
        <w:rPr>
          <w:sz w:val="24"/>
          <w:szCs w:val="24"/>
        </w:rPr>
      </w:pPr>
    </w:p>
    <w:p w14:paraId="7745BE0C" w14:textId="77777777" w:rsidR="00BE1B5D" w:rsidRDefault="00BE1B5D" w:rsidP="007C381F">
      <w:pPr>
        <w:pStyle w:val="PolicyHeading1-Accessible"/>
        <w:jc w:val="center"/>
        <w:rPr>
          <w:rFonts w:asciiTheme="minorHAnsi" w:hAnsiTheme="minorHAnsi" w:cstheme="minorHAnsi"/>
          <w:b w:val="0"/>
          <w:bCs w:val="0"/>
          <w:sz w:val="22"/>
          <w:szCs w:val="22"/>
        </w:rPr>
      </w:pPr>
    </w:p>
    <w:p w14:paraId="065155F5" w14:textId="77777777" w:rsidR="00BE1B5D" w:rsidRDefault="00BE1B5D" w:rsidP="007C381F">
      <w:pPr>
        <w:pStyle w:val="PolicyHeading1-Accessible"/>
        <w:jc w:val="center"/>
        <w:rPr>
          <w:rFonts w:asciiTheme="minorHAnsi" w:hAnsiTheme="minorHAnsi" w:cstheme="minorHAnsi"/>
          <w:b w:val="0"/>
          <w:bCs w:val="0"/>
          <w:sz w:val="22"/>
          <w:szCs w:val="22"/>
        </w:rPr>
      </w:pPr>
    </w:p>
    <w:p w14:paraId="3F7C9312" w14:textId="77777777" w:rsidR="00BE1B5D" w:rsidRDefault="00BE1B5D" w:rsidP="00BE1B5D">
      <w:pPr>
        <w:pStyle w:val="PolicyHeading1-Accessible"/>
        <w:jc w:val="both"/>
        <w:rPr>
          <w:rFonts w:asciiTheme="minorHAnsi" w:hAnsiTheme="minorHAnsi" w:cstheme="minorHAnsi"/>
          <w:b w:val="0"/>
          <w:bCs w:val="0"/>
          <w:sz w:val="22"/>
          <w:szCs w:val="22"/>
        </w:rPr>
      </w:pPr>
    </w:p>
    <w:p w14:paraId="54A917C1" w14:textId="795B5298" w:rsidR="007C381F" w:rsidRPr="00BE1B5D" w:rsidRDefault="007C381F" w:rsidP="00BE1B5D">
      <w:pPr>
        <w:pStyle w:val="PolicyHeading1-Accessible"/>
        <w:jc w:val="center"/>
        <w:rPr>
          <w:rFonts w:asciiTheme="minorHAnsi" w:hAnsiTheme="minorHAnsi" w:cstheme="minorHAnsi"/>
          <w:sz w:val="24"/>
          <w:szCs w:val="24"/>
        </w:rPr>
      </w:pPr>
      <w:r w:rsidRPr="00BE1B5D">
        <w:rPr>
          <w:rFonts w:asciiTheme="minorHAnsi" w:hAnsiTheme="minorHAnsi" w:cstheme="minorHAnsi"/>
          <w:sz w:val="24"/>
          <w:szCs w:val="24"/>
        </w:rPr>
        <w:t>Forrest Primary School/ Deakin Preschool</w:t>
      </w:r>
    </w:p>
    <w:p w14:paraId="477EBCC4" w14:textId="77777777" w:rsidR="00BE1B5D" w:rsidRDefault="007C381F" w:rsidP="00BE1B5D">
      <w:pPr>
        <w:pStyle w:val="PolicyHeading1-Accessible"/>
        <w:jc w:val="center"/>
        <w:rPr>
          <w:rFonts w:asciiTheme="minorHAnsi" w:hAnsiTheme="minorHAnsi" w:cstheme="minorHAnsi"/>
          <w:sz w:val="24"/>
          <w:szCs w:val="24"/>
        </w:rPr>
      </w:pPr>
      <w:r w:rsidRPr="00BE1B5D">
        <w:rPr>
          <w:rFonts w:asciiTheme="minorHAnsi" w:hAnsiTheme="minorHAnsi" w:cstheme="minorHAnsi"/>
          <w:sz w:val="24"/>
          <w:szCs w:val="24"/>
        </w:rPr>
        <w:t>Determining the Nominated Supervisor, Responsible Person and Educational Leader Procedure</w:t>
      </w:r>
      <w:bookmarkStart w:id="0" w:name="_Toc419889959"/>
    </w:p>
    <w:p w14:paraId="7D489082" w14:textId="4615A599" w:rsidR="007C381F" w:rsidRPr="00BE1B5D" w:rsidRDefault="007C381F" w:rsidP="00BE1B5D">
      <w:pPr>
        <w:pStyle w:val="PolicyHeading1-Accessible"/>
        <w:rPr>
          <w:rFonts w:asciiTheme="minorHAnsi" w:hAnsiTheme="minorHAnsi" w:cstheme="minorHAnsi"/>
          <w:sz w:val="24"/>
          <w:szCs w:val="24"/>
        </w:rPr>
      </w:pPr>
      <w:r w:rsidRPr="00BE1B5D">
        <w:rPr>
          <w:rFonts w:asciiTheme="minorHAnsi" w:hAnsiTheme="minorHAnsi" w:cstheme="minorHAnsi"/>
          <w:sz w:val="22"/>
          <w:szCs w:val="22"/>
        </w:rPr>
        <w:t>Overview</w:t>
      </w:r>
      <w:bookmarkEnd w:id="0"/>
    </w:p>
    <w:p w14:paraId="0B9DD84B" w14:textId="77777777" w:rsid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The following procedure identifies clear processes for determining the Nominated Supervisor, Responsible Perso</w:t>
      </w:r>
      <w:r w:rsidR="00BE1B5D">
        <w:rPr>
          <w:rFonts w:asciiTheme="minorHAnsi" w:hAnsiTheme="minorHAnsi" w:cstheme="minorHAnsi"/>
          <w:sz w:val="22"/>
          <w:szCs w:val="22"/>
        </w:rPr>
        <w:t xml:space="preserve">n </w:t>
      </w:r>
      <w:r w:rsidRPr="00BE1B5D">
        <w:rPr>
          <w:rFonts w:asciiTheme="minorHAnsi" w:hAnsiTheme="minorHAnsi" w:cstheme="minorHAnsi"/>
          <w:sz w:val="22"/>
          <w:szCs w:val="22"/>
        </w:rPr>
        <w:t xml:space="preserve">and Educational Leader within ACT Public Preschools. It establishes expectations for communicating this information with staff, parent’s, guardians and visitors to the service. </w:t>
      </w:r>
      <w:bookmarkStart w:id="1" w:name="_Toc419889960"/>
    </w:p>
    <w:p w14:paraId="4CDC85FD" w14:textId="1E3FAB5D" w:rsidR="007C381F" w:rsidRPr="00BE1B5D" w:rsidRDefault="007C381F" w:rsidP="00BE1B5D">
      <w:pPr>
        <w:pStyle w:val="Policy-BodyText"/>
        <w:numPr>
          <w:ilvl w:val="0"/>
          <w:numId w:val="0"/>
        </w:numPr>
        <w:ind w:left="567" w:hanging="567"/>
        <w:rPr>
          <w:rFonts w:asciiTheme="minorHAnsi" w:hAnsiTheme="minorHAnsi" w:cstheme="minorHAnsi"/>
          <w:b/>
          <w:bCs/>
          <w:sz w:val="22"/>
          <w:szCs w:val="22"/>
        </w:rPr>
      </w:pPr>
      <w:r w:rsidRPr="00BE1B5D">
        <w:rPr>
          <w:rFonts w:asciiTheme="minorHAnsi" w:hAnsiTheme="minorHAnsi" w:cstheme="minorHAnsi"/>
          <w:b/>
          <w:bCs/>
          <w:sz w:val="22"/>
          <w:szCs w:val="22"/>
        </w:rPr>
        <w:t>Rationale</w:t>
      </w:r>
      <w:bookmarkEnd w:id="1"/>
    </w:p>
    <w:p w14:paraId="430D19FF" w14:textId="50F82655"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w:t>
      </w:r>
      <w:hyperlink r:id="rId13" w:history="1">
        <w:r w:rsidRPr="00BE1B5D">
          <w:rPr>
            <w:rStyle w:val="Hyperlink"/>
            <w:rFonts w:asciiTheme="minorHAnsi" w:hAnsiTheme="minorHAnsi" w:cstheme="minorHAnsi"/>
            <w:sz w:val="22"/>
            <w:szCs w:val="22"/>
          </w:rPr>
          <w:t>Education and Care Services National Law (ACT) Act 2011</w:t>
        </w:r>
      </w:hyperlink>
      <w:r w:rsidRPr="00BE1B5D">
        <w:rPr>
          <w:rFonts w:asciiTheme="minorHAnsi" w:hAnsiTheme="minorHAnsi" w:cstheme="minorHAnsi"/>
          <w:sz w:val="22"/>
          <w:szCs w:val="22"/>
        </w:rPr>
        <w:t xml:space="preserve"> identifies operational requirements that require</w:t>
      </w:r>
      <w:r w:rsidR="00BE1B5D">
        <w:rPr>
          <w:rFonts w:asciiTheme="minorHAnsi" w:hAnsiTheme="minorHAnsi" w:cstheme="minorHAnsi"/>
          <w:sz w:val="22"/>
          <w:szCs w:val="22"/>
        </w:rPr>
        <w:t xml:space="preserve"> </w:t>
      </w:r>
      <w:r w:rsidRPr="00BE1B5D">
        <w:rPr>
          <w:rFonts w:asciiTheme="minorHAnsi" w:hAnsiTheme="minorHAnsi" w:cstheme="minorHAnsi"/>
          <w:sz w:val="22"/>
          <w:szCs w:val="22"/>
        </w:rPr>
        <w:t xml:space="preserve">designation of a Nominated Supervisor, a Responsible Person and an Educational Leader. </w:t>
      </w:r>
    </w:p>
    <w:p w14:paraId="68AB125E" w14:textId="63E032E1" w:rsidR="007C381F" w:rsidRPr="00BE1B5D" w:rsidRDefault="007C381F" w:rsidP="00BE1B5D">
      <w:pPr>
        <w:pStyle w:val="PolicyHeading2-Accessible"/>
        <w:numPr>
          <w:ilvl w:val="0"/>
          <w:numId w:val="0"/>
        </w:numPr>
        <w:rPr>
          <w:rFonts w:asciiTheme="minorHAnsi" w:hAnsiTheme="minorHAnsi" w:cstheme="minorHAnsi"/>
          <w:sz w:val="22"/>
        </w:rPr>
      </w:pPr>
      <w:r w:rsidRPr="00BE1B5D">
        <w:rPr>
          <w:rFonts w:asciiTheme="minorHAnsi" w:hAnsiTheme="minorHAnsi" w:cstheme="minorHAnsi"/>
          <w:sz w:val="22"/>
        </w:rPr>
        <w:t>Nominated Supervisor</w:t>
      </w:r>
    </w:p>
    <w:p w14:paraId="05EC8BF9"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ACT Education Directorate is the Approved Provider for all ACT Public Preschools. </w:t>
      </w:r>
    </w:p>
    <w:p w14:paraId="322B7635" w14:textId="2A0BCB2A"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The ACT Education Directorate, as the Approved Provider, designates at least one nominated supervisor for each</w:t>
      </w:r>
      <w:r w:rsidR="00BE1B5D">
        <w:rPr>
          <w:rFonts w:asciiTheme="minorHAnsi" w:hAnsiTheme="minorHAnsi" w:cstheme="minorHAnsi"/>
          <w:sz w:val="22"/>
          <w:szCs w:val="22"/>
        </w:rPr>
        <w:t xml:space="preserve"> </w:t>
      </w:r>
      <w:r w:rsidRPr="00BE1B5D">
        <w:rPr>
          <w:rFonts w:asciiTheme="minorHAnsi" w:hAnsiTheme="minorHAnsi" w:cstheme="minorHAnsi"/>
          <w:sz w:val="22"/>
          <w:szCs w:val="22"/>
        </w:rPr>
        <w:t>ACT Public Preschool. Within the ACT Education Directorate, the principal of the preschool’s governing school, accepts the designation of nominated supervisor.</w:t>
      </w:r>
      <w:r w:rsidR="00BE1B5D">
        <w:rPr>
          <w:rFonts w:asciiTheme="minorHAnsi" w:hAnsiTheme="minorHAnsi" w:cstheme="minorHAnsi"/>
          <w:sz w:val="22"/>
          <w:szCs w:val="22"/>
        </w:rPr>
        <w:t xml:space="preserve"> </w:t>
      </w:r>
      <w:r w:rsidRPr="00BE1B5D">
        <w:rPr>
          <w:rFonts w:asciiTheme="minorHAnsi" w:hAnsiTheme="minorHAnsi" w:cstheme="minorHAnsi"/>
          <w:sz w:val="22"/>
          <w:szCs w:val="22"/>
        </w:rPr>
        <w:t>This designation must be accepted by the nominated supervisor in writing; and maintained on their individual staff file and preschool staff record.</w:t>
      </w:r>
    </w:p>
    <w:p w14:paraId="7199934F" w14:textId="77777777" w:rsidR="00BE1B5D" w:rsidRDefault="00BE1B5D" w:rsidP="00BE1B5D">
      <w:pPr>
        <w:pStyle w:val="Policy-BodyText"/>
        <w:numPr>
          <w:ilvl w:val="0"/>
          <w:numId w:val="0"/>
        </w:numPr>
        <w:ind w:left="567"/>
        <w:rPr>
          <w:rFonts w:asciiTheme="minorHAnsi" w:hAnsiTheme="minorHAnsi" w:cstheme="minorHAnsi"/>
          <w:sz w:val="22"/>
          <w:szCs w:val="22"/>
        </w:rPr>
      </w:pPr>
    </w:p>
    <w:p w14:paraId="486299CF" w14:textId="217DC920"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Notification of a change in nominated supervisor must also be made to the ACT Regulatory Authority via School Operations, on </w:t>
      </w:r>
      <w:r w:rsidRPr="00BE1B5D">
        <w:rPr>
          <w:rFonts w:asciiTheme="minorHAnsi" w:hAnsiTheme="minorHAnsi" w:cstheme="minorHAnsi"/>
          <w:sz w:val="22"/>
          <w:szCs w:val="22"/>
          <w:lang w:eastAsia="en-AU"/>
        </w:rPr>
        <w:t>620 58219</w:t>
      </w:r>
      <w:r w:rsidRPr="00BE1B5D">
        <w:rPr>
          <w:rFonts w:asciiTheme="minorHAnsi" w:hAnsiTheme="minorHAnsi" w:cstheme="minorHAnsi"/>
          <w:sz w:val="22"/>
          <w:szCs w:val="22"/>
        </w:rPr>
        <w:t xml:space="preserve">. This must take place at least 7 days prior to their commencement as nominated supervisor; but not more than 14 days after the nominated supervisor commences work at the school site. </w:t>
      </w:r>
    </w:p>
    <w:p w14:paraId="09B369C7"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name of the nominated supervisor must be clearly displayed and communicated for staff, parents, guardians and visitors to the service. </w:t>
      </w:r>
    </w:p>
    <w:p w14:paraId="42EDA706"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While on site the nominated supervisor may be the responsible person in day to day charge. </w:t>
      </w:r>
    </w:p>
    <w:p w14:paraId="322D5FB5"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When the nominated supervisor is not on site an alternative person must be nominated as the responsible person in day to day charge.</w:t>
      </w:r>
    </w:p>
    <w:p w14:paraId="11BD6405" w14:textId="77777777" w:rsidR="007C381F" w:rsidRPr="00BE1B5D" w:rsidRDefault="007C381F" w:rsidP="00BE1B5D">
      <w:pPr>
        <w:pStyle w:val="PolicyHeading2-Accessible"/>
        <w:numPr>
          <w:ilvl w:val="0"/>
          <w:numId w:val="0"/>
        </w:numPr>
        <w:rPr>
          <w:rFonts w:asciiTheme="minorHAnsi" w:hAnsiTheme="minorHAnsi" w:cstheme="minorHAnsi"/>
          <w:sz w:val="22"/>
        </w:rPr>
      </w:pPr>
      <w:bookmarkStart w:id="2" w:name="_Toc419889963"/>
      <w:bookmarkStart w:id="3" w:name="_Toc419889962"/>
      <w:r w:rsidRPr="00BE1B5D">
        <w:rPr>
          <w:rFonts w:asciiTheme="minorHAnsi" w:hAnsiTheme="minorHAnsi" w:cstheme="minorHAnsi"/>
          <w:sz w:val="22"/>
        </w:rPr>
        <w:t>Responsible Person</w:t>
      </w:r>
    </w:p>
    <w:p w14:paraId="29B2CF50"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A responsible person in day to day charge must be physically present at each preschool site while the service is in operation.  </w:t>
      </w:r>
    </w:p>
    <w:p w14:paraId="4BC7EC14"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The nominated supervisor or principal generally accepts the role of the responsible person in day to day charge.</w:t>
      </w:r>
    </w:p>
    <w:p w14:paraId="4FB8A810"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Nominated supervisor must designate additional persons to act as responsible persons in day to day charge in their absence. </w:t>
      </w:r>
    </w:p>
    <w:p w14:paraId="7A143DC2"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This designation generally passes to the deputy principal; executive teacher; and preschool teacher. </w:t>
      </w:r>
    </w:p>
    <w:p w14:paraId="75923468"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In the case of an off-site preschool, the responsible person in day to day charge will be delegated to a preschool teacher. When the preschool teacher is away, either a second preschool teacher or the relief teacher, who have accepted the responsibility in writing, will assume the position as the responsible person in day to day charge.</w:t>
      </w:r>
    </w:p>
    <w:p w14:paraId="04F18095"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designation of responsible persons must be accepted in writing and maintained on the staff members individual file and preschool staff record. </w:t>
      </w:r>
    </w:p>
    <w:p w14:paraId="3FDE7EEA"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designated responsible person must ensure their name is clearly displayed and communicated with staff, parents, guardians and visitors to the service when acting in this position.  This may be achieved through simple signage or a white board, </w:t>
      </w:r>
      <w:proofErr w:type="gramStart"/>
      <w:r w:rsidRPr="00BE1B5D">
        <w:rPr>
          <w:rFonts w:asciiTheme="minorHAnsi" w:hAnsiTheme="minorHAnsi" w:cstheme="minorHAnsi"/>
          <w:sz w:val="22"/>
          <w:szCs w:val="22"/>
        </w:rPr>
        <w:t>however</w:t>
      </w:r>
      <w:proofErr w:type="gramEnd"/>
      <w:r w:rsidRPr="00BE1B5D">
        <w:rPr>
          <w:rFonts w:asciiTheme="minorHAnsi" w:hAnsiTheme="minorHAnsi" w:cstheme="minorHAnsi"/>
          <w:sz w:val="22"/>
          <w:szCs w:val="22"/>
        </w:rPr>
        <w:t xml:space="preserve"> must be changed to reflect the designated person.</w:t>
      </w:r>
    </w:p>
    <w:p w14:paraId="1786FFC7" w14:textId="77777777" w:rsidR="007917AE" w:rsidRDefault="007917AE" w:rsidP="00BE1B5D">
      <w:pPr>
        <w:pStyle w:val="PolicyHeading2-Accessible"/>
        <w:numPr>
          <w:ilvl w:val="0"/>
          <w:numId w:val="0"/>
        </w:numPr>
        <w:rPr>
          <w:rFonts w:asciiTheme="minorHAnsi" w:hAnsiTheme="minorHAnsi" w:cstheme="minorHAnsi"/>
          <w:sz w:val="22"/>
        </w:rPr>
      </w:pPr>
    </w:p>
    <w:p w14:paraId="55B7A5FB" w14:textId="096C3702" w:rsidR="007C381F" w:rsidRPr="00BE1B5D" w:rsidRDefault="007C381F" w:rsidP="00BE1B5D">
      <w:pPr>
        <w:pStyle w:val="PolicyHeading2-Accessible"/>
        <w:numPr>
          <w:ilvl w:val="0"/>
          <w:numId w:val="0"/>
        </w:numPr>
        <w:rPr>
          <w:rFonts w:asciiTheme="minorHAnsi" w:hAnsiTheme="minorHAnsi" w:cstheme="minorHAnsi"/>
          <w:sz w:val="22"/>
        </w:rPr>
      </w:pPr>
      <w:r w:rsidRPr="00BE1B5D">
        <w:rPr>
          <w:rFonts w:asciiTheme="minorHAnsi" w:hAnsiTheme="minorHAnsi" w:cstheme="minorHAnsi"/>
          <w:sz w:val="22"/>
        </w:rPr>
        <w:lastRenderedPageBreak/>
        <w:t>Educational Leader</w:t>
      </w:r>
    </w:p>
    <w:p w14:paraId="01677943"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Quality Area 7 of the </w:t>
      </w:r>
      <w:hyperlink r:id="rId14" w:history="1">
        <w:r w:rsidRPr="00BE1B5D">
          <w:rPr>
            <w:rStyle w:val="Hyperlink"/>
            <w:rFonts w:asciiTheme="minorHAnsi" w:hAnsiTheme="minorHAnsi" w:cstheme="minorHAnsi"/>
            <w:sz w:val="22"/>
            <w:szCs w:val="22"/>
          </w:rPr>
          <w:t>National Quality Standard</w:t>
        </w:r>
      </w:hyperlink>
      <w:r w:rsidRPr="00BE1B5D">
        <w:rPr>
          <w:rFonts w:asciiTheme="minorHAnsi" w:hAnsiTheme="minorHAnsi" w:cstheme="minorHAnsi"/>
          <w:sz w:val="22"/>
          <w:szCs w:val="22"/>
        </w:rPr>
        <w:t xml:space="preserve"> outlines aspirations for educational leaders to support and lead the development and implementation of an effective early childhood program and practice within the preschool. </w:t>
      </w:r>
    </w:p>
    <w:p w14:paraId="79A3A21A"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For the educational leader to be successful in the role, it is essential that they need to be supported.</w:t>
      </w:r>
    </w:p>
    <w:p w14:paraId="158ECA71"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The following skills, knowledge and attributes are considered in nominating and developing the educational leader:</w:t>
      </w:r>
    </w:p>
    <w:p w14:paraId="21F90DF8"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Communication and interpersonal skills</w:t>
      </w:r>
    </w:p>
    <w:p w14:paraId="6A99B06B"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 xml:space="preserve">Comprehensive knowledge of the theory of early childhood education </w:t>
      </w:r>
    </w:p>
    <w:p w14:paraId="2511E418"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Knowledge of leadership theory</w:t>
      </w:r>
    </w:p>
    <w:p w14:paraId="3A6843C9"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Thinking skills</w:t>
      </w:r>
    </w:p>
    <w:p w14:paraId="4CFD5268"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A sense of purpose and direction</w:t>
      </w:r>
    </w:p>
    <w:p w14:paraId="2D4F3833" w14:textId="77777777" w:rsidR="007C381F" w:rsidRPr="00BE1B5D"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 xml:space="preserve">Willingness to mentor and support educators </w:t>
      </w:r>
    </w:p>
    <w:p w14:paraId="532BBCE4" w14:textId="2BB530DE" w:rsidR="007C381F" w:rsidRDefault="007C381F" w:rsidP="007C381F">
      <w:pPr>
        <w:pStyle w:val="Policy-BodyText"/>
        <w:numPr>
          <w:ilvl w:val="2"/>
          <w:numId w:val="10"/>
        </w:numPr>
        <w:ind w:left="993"/>
        <w:rPr>
          <w:rFonts w:asciiTheme="minorHAnsi" w:hAnsiTheme="minorHAnsi" w:cstheme="minorHAnsi"/>
          <w:sz w:val="22"/>
          <w:szCs w:val="22"/>
        </w:rPr>
      </w:pPr>
      <w:r w:rsidRPr="00BE1B5D">
        <w:rPr>
          <w:rFonts w:asciiTheme="minorHAnsi" w:hAnsiTheme="minorHAnsi" w:cstheme="minorHAnsi"/>
          <w:sz w:val="22"/>
          <w:szCs w:val="22"/>
        </w:rPr>
        <w:t>Commitment to learning and participating in professional learning</w:t>
      </w:r>
    </w:p>
    <w:p w14:paraId="61206F2A" w14:textId="77777777" w:rsidR="00BE1B5D" w:rsidRPr="00BE1B5D" w:rsidRDefault="00BE1B5D" w:rsidP="00BE1B5D">
      <w:pPr>
        <w:pStyle w:val="Policy-BodyText"/>
        <w:numPr>
          <w:ilvl w:val="0"/>
          <w:numId w:val="0"/>
        </w:numPr>
        <w:ind w:left="993"/>
        <w:rPr>
          <w:rFonts w:asciiTheme="minorHAnsi" w:hAnsiTheme="minorHAnsi" w:cstheme="minorHAnsi"/>
          <w:sz w:val="22"/>
          <w:szCs w:val="22"/>
        </w:rPr>
      </w:pPr>
    </w:p>
    <w:p w14:paraId="4FFA51CA"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A principal, deputy principal, executive or preschool teacher may accept the role of educational leader for the preschool. It is recommended that teams acknowledge the importance of early childhood perspectives as a key driver of quality programs and practices within early childhood settings; and designate this role according to identified strengths in the field of early childhood. </w:t>
      </w:r>
    </w:p>
    <w:p w14:paraId="51209FDA" w14:textId="77777777" w:rsidR="007C381F" w:rsidRPr="00BE1B5D" w:rsidRDefault="007C381F" w:rsidP="00BE1B5D">
      <w:pPr>
        <w:pStyle w:val="Policy-BodyText"/>
        <w:numPr>
          <w:ilvl w:val="0"/>
          <w:numId w:val="0"/>
        </w:numPr>
        <w:ind w:left="567"/>
        <w:rPr>
          <w:rFonts w:asciiTheme="minorHAnsi" w:hAnsiTheme="minorHAnsi" w:cstheme="minorHAnsi"/>
          <w:sz w:val="22"/>
          <w:szCs w:val="22"/>
        </w:rPr>
      </w:pPr>
      <w:r w:rsidRPr="00BE1B5D">
        <w:rPr>
          <w:rFonts w:asciiTheme="minorHAnsi" w:hAnsiTheme="minorHAnsi" w:cstheme="minorHAnsi"/>
          <w:sz w:val="22"/>
          <w:szCs w:val="22"/>
        </w:rPr>
        <w:t xml:space="preserve">The acceptance of the role of Educational Leader must be made in writing and maintained on the staff members file and preschool staff record. </w:t>
      </w:r>
    </w:p>
    <w:p w14:paraId="6BA1567E" w14:textId="77777777" w:rsidR="007C381F" w:rsidRPr="00BE1B5D" w:rsidRDefault="007C381F" w:rsidP="00BE1B5D">
      <w:pPr>
        <w:pStyle w:val="PolicyHeading2-Accessible"/>
        <w:numPr>
          <w:ilvl w:val="0"/>
          <w:numId w:val="0"/>
        </w:numPr>
        <w:rPr>
          <w:rFonts w:asciiTheme="minorHAnsi" w:hAnsiTheme="minorHAnsi" w:cstheme="minorHAnsi"/>
          <w:b w:val="0"/>
          <w:bCs w:val="0"/>
          <w:sz w:val="22"/>
        </w:rPr>
      </w:pPr>
      <w:r w:rsidRPr="00BE1B5D">
        <w:rPr>
          <w:rFonts w:asciiTheme="minorHAnsi" w:hAnsiTheme="minorHAnsi" w:cstheme="minorHAnsi"/>
          <w:b w:val="0"/>
          <w:bCs w:val="0"/>
          <w:sz w:val="22"/>
        </w:rPr>
        <w:t>The Director, School Improvement is responsible</w:t>
      </w:r>
      <w:r w:rsidRPr="00BE1B5D">
        <w:rPr>
          <w:rStyle w:val="ExplanatoryTextChar"/>
          <w:rFonts w:asciiTheme="minorHAnsi" w:eastAsiaTheme="minorEastAsia" w:hAnsiTheme="minorHAnsi" w:cstheme="minorHAnsi"/>
          <w:bCs w:val="0"/>
          <w:sz w:val="22"/>
        </w:rPr>
        <w:t xml:space="preserve"> for this procedure.</w:t>
      </w:r>
    </w:p>
    <w:p w14:paraId="278019FC" w14:textId="77777777" w:rsidR="007C381F" w:rsidRPr="00BE1B5D" w:rsidRDefault="007C381F" w:rsidP="00BE1B5D">
      <w:pPr>
        <w:pStyle w:val="Policy-BodyText"/>
        <w:numPr>
          <w:ilvl w:val="0"/>
          <w:numId w:val="0"/>
        </w:numPr>
        <w:spacing w:line="240" w:lineRule="auto"/>
        <w:rPr>
          <w:rFonts w:asciiTheme="minorHAnsi" w:hAnsiTheme="minorHAnsi" w:cstheme="minorHAnsi"/>
          <w:sz w:val="22"/>
          <w:szCs w:val="22"/>
        </w:rPr>
      </w:pPr>
      <w:r w:rsidRPr="00BE1B5D">
        <w:rPr>
          <w:rFonts w:asciiTheme="minorHAnsi" w:hAnsiTheme="minorHAnsi" w:cstheme="minorHAnsi"/>
          <w:sz w:val="22"/>
          <w:szCs w:val="22"/>
        </w:rPr>
        <w:t>For support contact</w:t>
      </w:r>
      <w:r w:rsidRPr="00BE1B5D">
        <w:rPr>
          <w:rStyle w:val="ExplanatoryTextChar"/>
          <w:rFonts w:asciiTheme="minorHAnsi" w:eastAsiaTheme="minorEastAsia" w:hAnsiTheme="minorHAnsi" w:cstheme="minorHAnsi"/>
          <w:b w:val="0"/>
          <w:sz w:val="22"/>
          <w:szCs w:val="22"/>
        </w:rPr>
        <w:t xml:space="preserve"> the School Operations Branch </w:t>
      </w:r>
      <w:r w:rsidRPr="00BE1B5D">
        <w:rPr>
          <w:rFonts w:asciiTheme="minorHAnsi" w:hAnsiTheme="minorHAnsi" w:cstheme="minorHAnsi"/>
          <w:sz w:val="22"/>
          <w:szCs w:val="22"/>
        </w:rPr>
        <w:t xml:space="preserve">on </w:t>
      </w:r>
      <w:r w:rsidRPr="00BE1B5D">
        <w:rPr>
          <w:rFonts w:asciiTheme="minorHAnsi" w:hAnsiTheme="minorHAnsi" w:cstheme="minorHAnsi"/>
          <w:sz w:val="22"/>
          <w:szCs w:val="22"/>
          <w:lang w:eastAsia="en-AU"/>
        </w:rPr>
        <w:t xml:space="preserve">6205 3313 </w:t>
      </w:r>
      <w:r w:rsidRPr="00BE1B5D">
        <w:rPr>
          <w:rStyle w:val="ExplanatoryTextChar"/>
          <w:rFonts w:asciiTheme="minorHAnsi" w:eastAsiaTheme="minorEastAsia" w:hAnsiTheme="minorHAnsi" w:cstheme="minorHAnsi"/>
          <w:b w:val="0"/>
          <w:sz w:val="22"/>
          <w:szCs w:val="22"/>
        </w:rPr>
        <w:t xml:space="preserve">or email </w:t>
      </w:r>
      <w:r w:rsidRPr="00BE1B5D">
        <w:rPr>
          <w:rFonts w:asciiTheme="minorHAnsi" w:hAnsiTheme="minorHAnsi" w:cstheme="minorHAnsi"/>
          <w:sz w:val="22"/>
          <w:szCs w:val="22"/>
        </w:rPr>
        <w:t xml:space="preserve">School Operations at  </w:t>
      </w:r>
      <w:hyperlink r:id="rId15" w:history="1">
        <w:r w:rsidRPr="00BE1B5D">
          <w:rPr>
            <w:rStyle w:val="Hyperlink"/>
            <w:rFonts w:asciiTheme="minorHAnsi" w:hAnsiTheme="minorHAnsi" w:cstheme="minorHAnsi"/>
            <w:sz w:val="22"/>
            <w:szCs w:val="22"/>
          </w:rPr>
          <w:t>schooloperations@act.gov.au</w:t>
        </w:r>
      </w:hyperlink>
      <w:r w:rsidRPr="00BE1B5D">
        <w:rPr>
          <w:rFonts w:asciiTheme="minorHAnsi" w:hAnsiTheme="minorHAnsi" w:cstheme="minorHAnsi"/>
          <w:sz w:val="22"/>
          <w:szCs w:val="22"/>
        </w:rPr>
        <w:t xml:space="preserve">  </w:t>
      </w:r>
    </w:p>
    <w:p w14:paraId="787195E9" w14:textId="77777777" w:rsidR="007C381F" w:rsidRPr="00BE1B5D" w:rsidRDefault="007C381F" w:rsidP="007C381F">
      <w:pPr>
        <w:pStyle w:val="Policy-BodyText"/>
        <w:numPr>
          <w:ilvl w:val="0"/>
          <w:numId w:val="0"/>
        </w:numPr>
        <w:tabs>
          <w:tab w:val="left" w:pos="720"/>
        </w:tabs>
        <w:spacing w:line="240" w:lineRule="auto"/>
        <w:ind w:left="567"/>
        <w:rPr>
          <w:rFonts w:asciiTheme="minorHAnsi" w:hAnsiTheme="minorHAnsi" w:cstheme="minorHAnsi"/>
          <w:sz w:val="22"/>
          <w:szCs w:val="22"/>
        </w:rPr>
      </w:pPr>
    </w:p>
    <w:p w14:paraId="389102C8" w14:textId="77777777" w:rsidR="007C381F" w:rsidRPr="00BE1B5D" w:rsidRDefault="007C381F" w:rsidP="00BE1B5D">
      <w:pPr>
        <w:pStyle w:val="PolicyHeading2-Accessible"/>
        <w:numPr>
          <w:ilvl w:val="0"/>
          <w:numId w:val="0"/>
        </w:numPr>
        <w:rPr>
          <w:rFonts w:asciiTheme="minorHAnsi" w:hAnsiTheme="minorHAnsi" w:cstheme="minorHAnsi"/>
          <w:sz w:val="22"/>
        </w:rPr>
      </w:pPr>
      <w:r w:rsidRPr="00BE1B5D">
        <w:rPr>
          <w:rFonts w:asciiTheme="minorHAnsi" w:hAnsiTheme="minorHAnsi" w:cstheme="minorHAnsi"/>
          <w:sz w:val="22"/>
        </w:rPr>
        <w:t>Monitoring and review</w:t>
      </w:r>
    </w:p>
    <w:p w14:paraId="2E24854E" w14:textId="77777777" w:rsidR="007C381F" w:rsidRPr="00BE1B5D" w:rsidRDefault="007C381F" w:rsidP="00BE1B5D">
      <w:pPr>
        <w:pStyle w:val="Policy-BodyText"/>
        <w:numPr>
          <w:ilvl w:val="0"/>
          <w:numId w:val="0"/>
        </w:numPr>
        <w:spacing w:line="240" w:lineRule="auto"/>
        <w:ind w:left="567"/>
        <w:rPr>
          <w:rFonts w:asciiTheme="minorHAnsi" w:hAnsiTheme="minorHAnsi" w:cstheme="minorHAnsi"/>
          <w:sz w:val="22"/>
          <w:szCs w:val="22"/>
        </w:rPr>
      </w:pPr>
      <w:r w:rsidRPr="00BE1B5D">
        <w:rPr>
          <w:rFonts w:asciiTheme="minorHAnsi" w:hAnsiTheme="minorHAnsi" w:cstheme="minorHAnsi"/>
          <w:sz w:val="22"/>
          <w:szCs w:val="22"/>
        </w:rPr>
        <w:t>The procedure owner will be responsible for monitoring the procedure through annual scans. A full review will occur as necessary, or within a three-year period.</w:t>
      </w:r>
    </w:p>
    <w:p w14:paraId="4A1AC239" w14:textId="77777777" w:rsidR="007C381F" w:rsidRPr="00BE1B5D" w:rsidRDefault="007C381F" w:rsidP="00BE1B5D">
      <w:pPr>
        <w:pStyle w:val="PolicyHeading2-Accessible"/>
        <w:numPr>
          <w:ilvl w:val="0"/>
          <w:numId w:val="0"/>
        </w:numPr>
        <w:rPr>
          <w:rFonts w:asciiTheme="minorHAnsi" w:hAnsiTheme="minorHAnsi" w:cstheme="minorHAnsi"/>
          <w:sz w:val="22"/>
        </w:rPr>
      </w:pPr>
      <w:bookmarkStart w:id="4" w:name="_Hlk126150417"/>
      <w:r w:rsidRPr="00BE1B5D">
        <w:rPr>
          <w:rFonts w:asciiTheme="minorHAnsi" w:hAnsiTheme="minorHAnsi" w:cstheme="minorHAnsi"/>
          <w:sz w:val="22"/>
        </w:rPr>
        <w:t>Complaints</w:t>
      </w:r>
    </w:p>
    <w:p w14:paraId="7F99EA15" w14:textId="77777777" w:rsidR="007C381F" w:rsidRPr="00BE1B5D" w:rsidRDefault="007C381F" w:rsidP="00BE1B5D">
      <w:pPr>
        <w:pStyle w:val="Policy-BodyText"/>
        <w:numPr>
          <w:ilvl w:val="0"/>
          <w:numId w:val="0"/>
        </w:numPr>
        <w:spacing w:line="240" w:lineRule="auto"/>
        <w:ind w:left="567"/>
        <w:rPr>
          <w:rFonts w:asciiTheme="minorHAnsi" w:hAnsiTheme="minorHAnsi" w:cstheme="minorHAnsi"/>
          <w:sz w:val="22"/>
          <w:szCs w:val="22"/>
        </w:rPr>
      </w:pPr>
      <w:r w:rsidRPr="00BE1B5D">
        <w:rPr>
          <w:rFonts w:asciiTheme="minorHAnsi" w:hAnsiTheme="minorHAnsi" w:cstheme="minorHAnsi"/>
          <w:sz w:val="22"/>
          <w:szCs w:val="22"/>
        </w:rPr>
        <w:t>Any concerns about the application of this procedure or the procedure itself, should be raised with:</w:t>
      </w:r>
    </w:p>
    <w:p w14:paraId="4EB61E9D" w14:textId="77777777" w:rsidR="007C381F" w:rsidRPr="00BE1B5D" w:rsidRDefault="007C381F" w:rsidP="007C381F">
      <w:pPr>
        <w:pStyle w:val="Policy-BodyText"/>
        <w:numPr>
          <w:ilvl w:val="0"/>
          <w:numId w:val="11"/>
        </w:numPr>
        <w:tabs>
          <w:tab w:val="left" w:pos="720"/>
        </w:tabs>
        <w:spacing w:line="240" w:lineRule="auto"/>
        <w:ind w:left="851" w:hanging="284"/>
        <w:rPr>
          <w:rFonts w:asciiTheme="minorHAnsi" w:hAnsiTheme="minorHAnsi" w:cstheme="minorHAnsi"/>
          <w:sz w:val="22"/>
          <w:szCs w:val="22"/>
        </w:rPr>
      </w:pPr>
      <w:r w:rsidRPr="00BE1B5D">
        <w:rPr>
          <w:rFonts w:asciiTheme="minorHAnsi" w:hAnsiTheme="minorHAnsi" w:cstheme="minorHAnsi"/>
          <w:sz w:val="22"/>
          <w:szCs w:val="22"/>
        </w:rPr>
        <w:t>the school principal in the first instance;</w:t>
      </w:r>
    </w:p>
    <w:p w14:paraId="3BC157F5" w14:textId="77777777" w:rsidR="007C381F" w:rsidRPr="00BE1B5D" w:rsidRDefault="007C381F" w:rsidP="007C381F">
      <w:pPr>
        <w:pStyle w:val="Policy-BodyText"/>
        <w:numPr>
          <w:ilvl w:val="0"/>
          <w:numId w:val="11"/>
        </w:numPr>
        <w:tabs>
          <w:tab w:val="left" w:pos="720"/>
        </w:tabs>
        <w:spacing w:line="240" w:lineRule="auto"/>
        <w:ind w:left="851" w:hanging="284"/>
        <w:rPr>
          <w:rFonts w:asciiTheme="minorHAnsi" w:hAnsiTheme="minorHAnsi" w:cstheme="minorHAnsi"/>
          <w:sz w:val="22"/>
          <w:szCs w:val="22"/>
        </w:rPr>
      </w:pPr>
      <w:r w:rsidRPr="00BE1B5D">
        <w:rPr>
          <w:rFonts w:asciiTheme="minorHAnsi" w:hAnsiTheme="minorHAnsi" w:cstheme="minorHAnsi"/>
          <w:sz w:val="22"/>
          <w:szCs w:val="22"/>
        </w:rPr>
        <w:t>the Directorate’s Liaison Unit on (02) 6205 5429;</w:t>
      </w:r>
    </w:p>
    <w:p w14:paraId="03583391" w14:textId="77777777" w:rsidR="007C381F" w:rsidRPr="00BE1B5D" w:rsidRDefault="007C381F" w:rsidP="007C381F">
      <w:pPr>
        <w:pStyle w:val="Policy-BodyText"/>
        <w:numPr>
          <w:ilvl w:val="0"/>
          <w:numId w:val="11"/>
        </w:numPr>
        <w:tabs>
          <w:tab w:val="left" w:pos="720"/>
        </w:tabs>
        <w:spacing w:line="240" w:lineRule="auto"/>
        <w:ind w:left="851" w:hanging="284"/>
        <w:rPr>
          <w:rFonts w:asciiTheme="minorHAnsi" w:hAnsiTheme="minorHAnsi" w:cstheme="minorHAnsi"/>
          <w:sz w:val="22"/>
          <w:szCs w:val="22"/>
        </w:rPr>
      </w:pPr>
      <w:r w:rsidRPr="00BE1B5D">
        <w:rPr>
          <w:rFonts w:asciiTheme="minorHAnsi" w:hAnsiTheme="minorHAnsi" w:cstheme="minorHAnsi"/>
          <w:sz w:val="22"/>
          <w:szCs w:val="22"/>
        </w:rPr>
        <w:t xml:space="preserve">online at </w:t>
      </w:r>
      <w:hyperlink w:history="1">
        <w:r w:rsidRPr="00BE1B5D">
          <w:rPr>
            <w:rStyle w:val="Hyperlink"/>
            <w:rFonts w:asciiTheme="minorHAnsi" w:hAnsiTheme="minorHAnsi" w:cstheme="minorHAnsi"/>
            <w:sz w:val="22"/>
            <w:szCs w:val="22"/>
          </w:rPr>
          <w:t>http://w ww.det.act.gov.au/</w:t>
        </w:r>
        <w:proofErr w:type="spellStart"/>
        <w:r w:rsidRPr="00BE1B5D">
          <w:rPr>
            <w:rStyle w:val="Hyperlink"/>
            <w:rFonts w:asciiTheme="minorHAnsi" w:hAnsiTheme="minorHAnsi" w:cstheme="minorHAnsi"/>
            <w:sz w:val="22"/>
            <w:szCs w:val="22"/>
          </w:rPr>
          <w:t>contact_us</w:t>
        </w:r>
        <w:proofErr w:type="spellEnd"/>
      </w:hyperlink>
      <w:r w:rsidRPr="00BE1B5D">
        <w:rPr>
          <w:rFonts w:asciiTheme="minorHAnsi" w:hAnsiTheme="minorHAnsi" w:cstheme="minorHAnsi"/>
          <w:sz w:val="22"/>
          <w:szCs w:val="22"/>
        </w:rPr>
        <w:t>;</w:t>
      </w:r>
    </w:p>
    <w:p w14:paraId="69BEE1D1" w14:textId="77777777" w:rsidR="007C381F" w:rsidRPr="00BE1B5D" w:rsidRDefault="007C381F" w:rsidP="007C381F">
      <w:pPr>
        <w:pStyle w:val="Policy-BodyText"/>
        <w:numPr>
          <w:ilvl w:val="0"/>
          <w:numId w:val="11"/>
        </w:numPr>
        <w:tabs>
          <w:tab w:val="left" w:pos="720"/>
        </w:tabs>
        <w:spacing w:line="240" w:lineRule="auto"/>
        <w:ind w:left="851" w:hanging="284"/>
        <w:rPr>
          <w:rFonts w:asciiTheme="minorHAnsi" w:hAnsiTheme="minorHAnsi" w:cstheme="minorHAnsi"/>
          <w:sz w:val="22"/>
          <w:szCs w:val="22"/>
        </w:rPr>
      </w:pPr>
      <w:bookmarkStart w:id="5" w:name="_Hlk530141456"/>
      <w:r w:rsidRPr="00BE1B5D">
        <w:rPr>
          <w:rFonts w:asciiTheme="minorHAnsi" w:hAnsiTheme="minorHAnsi" w:cstheme="minorHAnsi"/>
          <w:sz w:val="22"/>
          <w:szCs w:val="22"/>
        </w:rPr>
        <w:t xml:space="preserve">the Director of Early Childhood Policy and Regulation within Children’s Education and Care Assurance within the Education Directorate via </w:t>
      </w:r>
      <w:hyperlink r:id="rId16" w:history="1">
        <w:r w:rsidRPr="00BE1B5D">
          <w:rPr>
            <w:rStyle w:val="Hyperlink"/>
            <w:rFonts w:asciiTheme="minorHAnsi" w:hAnsiTheme="minorHAnsi" w:cstheme="minorHAnsi"/>
            <w:sz w:val="22"/>
            <w:szCs w:val="22"/>
          </w:rPr>
          <w:t>complaintsCECA@act.gov.au</w:t>
        </w:r>
      </w:hyperlink>
      <w:r w:rsidRPr="00BE1B5D">
        <w:rPr>
          <w:rFonts w:asciiTheme="minorHAnsi" w:hAnsiTheme="minorHAnsi" w:cstheme="minorHAnsi"/>
          <w:sz w:val="22"/>
          <w:szCs w:val="22"/>
        </w:rPr>
        <w:t xml:space="preserve"> ;</w:t>
      </w:r>
    </w:p>
    <w:bookmarkEnd w:id="5"/>
    <w:p w14:paraId="5AEA0C34" w14:textId="77777777" w:rsidR="007C381F" w:rsidRPr="00BE1B5D" w:rsidRDefault="007C381F" w:rsidP="007C381F">
      <w:pPr>
        <w:pStyle w:val="Policy-BodyText"/>
        <w:numPr>
          <w:ilvl w:val="0"/>
          <w:numId w:val="11"/>
        </w:numPr>
        <w:tabs>
          <w:tab w:val="left" w:pos="720"/>
        </w:tabs>
        <w:spacing w:line="240" w:lineRule="auto"/>
        <w:ind w:left="851" w:hanging="284"/>
        <w:rPr>
          <w:rFonts w:asciiTheme="minorHAnsi" w:hAnsiTheme="minorHAnsi" w:cstheme="minorHAnsi"/>
          <w:sz w:val="22"/>
          <w:szCs w:val="22"/>
        </w:rPr>
      </w:pPr>
      <w:r w:rsidRPr="00BE1B5D">
        <w:rPr>
          <w:rFonts w:asciiTheme="minorHAnsi" w:hAnsiTheme="minorHAnsi" w:cstheme="minorHAnsi"/>
          <w:sz w:val="22"/>
          <w:szCs w:val="22"/>
        </w:rPr>
        <w:t>see also the Complaints Policy on the Directorate’s website.</w:t>
      </w:r>
    </w:p>
    <w:bookmarkEnd w:id="4"/>
    <w:p w14:paraId="5FE31BB4" w14:textId="77777777" w:rsidR="007C381F" w:rsidRPr="00BE1B5D" w:rsidRDefault="007C381F" w:rsidP="00BE1B5D">
      <w:pPr>
        <w:pStyle w:val="PolicyHeading2-Accessible"/>
        <w:numPr>
          <w:ilvl w:val="0"/>
          <w:numId w:val="0"/>
        </w:numPr>
        <w:rPr>
          <w:rFonts w:asciiTheme="minorHAnsi" w:hAnsiTheme="minorHAnsi" w:cstheme="minorHAnsi"/>
          <w:sz w:val="22"/>
        </w:rPr>
      </w:pPr>
      <w:r w:rsidRPr="00BE1B5D">
        <w:rPr>
          <w:rFonts w:asciiTheme="minorHAnsi" w:hAnsiTheme="minorHAnsi" w:cstheme="minorHAnsi"/>
          <w:sz w:val="22"/>
        </w:rPr>
        <w:t>References</w:t>
      </w:r>
    </w:p>
    <w:p w14:paraId="26AAA90D" w14:textId="77777777" w:rsidR="007C381F" w:rsidRPr="00BE1B5D" w:rsidRDefault="00BE1B5D" w:rsidP="007C381F">
      <w:pPr>
        <w:pStyle w:val="Policy-BodyText"/>
        <w:rPr>
          <w:rStyle w:val="Hyperlink"/>
          <w:rFonts w:asciiTheme="minorHAnsi" w:hAnsiTheme="minorHAnsi" w:cstheme="minorHAnsi"/>
          <w:sz w:val="22"/>
          <w:szCs w:val="22"/>
        </w:rPr>
      </w:pPr>
      <w:hyperlink r:id="rId17" w:history="1">
        <w:r w:rsidR="007C381F" w:rsidRPr="00BE1B5D">
          <w:rPr>
            <w:rStyle w:val="Hyperlink"/>
            <w:rFonts w:asciiTheme="minorHAnsi" w:hAnsiTheme="minorHAnsi" w:cstheme="minorHAnsi"/>
            <w:sz w:val="22"/>
            <w:szCs w:val="22"/>
          </w:rPr>
          <w:t>Education and Care Services National Law (ACT) Act 2011</w:t>
        </w:r>
      </w:hyperlink>
    </w:p>
    <w:p w14:paraId="7C241755" w14:textId="77777777" w:rsidR="007C381F" w:rsidRPr="00BE1B5D" w:rsidRDefault="007917AE" w:rsidP="007C381F">
      <w:pPr>
        <w:pStyle w:val="Policy-BodyText"/>
        <w:rPr>
          <w:rFonts w:asciiTheme="minorHAnsi" w:hAnsiTheme="minorHAnsi" w:cstheme="minorHAnsi"/>
          <w:sz w:val="22"/>
          <w:szCs w:val="22"/>
        </w:rPr>
      </w:pPr>
      <w:hyperlink r:id="rId18" w:anchor="/view/regulation/2011/653" w:history="1">
        <w:r w:rsidR="007C381F" w:rsidRPr="00BE1B5D">
          <w:rPr>
            <w:rStyle w:val="Hyperlink"/>
            <w:rFonts w:asciiTheme="minorHAnsi" w:hAnsiTheme="minorHAnsi" w:cstheme="minorHAnsi"/>
            <w:sz w:val="22"/>
            <w:szCs w:val="22"/>
          </w:rPr>
          <w:t>Education and Care Services National Regulations</w:t>
        </w:r>
      </w:hyperlink>
    </w:p>
    <w:p w14:paraId="0FA02040" w14:textId="77777777" w:rsidR="007C381F" w:rsidRPr="00BE1B5D" w:rsidRDefault="007917AE" w:rsidP="007C381F">
      <w:pPr>
        <w:pStyle w:val="Policy-BodyText"/>
        <w:rPr>
          <w:rFonts w:asciiTheme="minorHAnsi" w:hAnsiTheme="minorHAnsi" w:cstheme="minorHAnsi"/>
          <w:sz w:val="22"/>
          <w:szCs w:val="22"/>
        </w:rPr>
      </w:pPr>
      <w:hyperlink r:id="rId19" w:history="1">
        <w:r w:rsidR="007C381F" w:rsidRPr="00BE1B5D">
          <w:rPr>
            <w:rStyle w:val="Hyperlink"/>
            <w:rFonts w:asciiTheme="minorHAnsi" w:hAnsiTheme="minorHAnsi" w:cstheme="minorHAnsi"/>
            <w:sz w:val="22"/>
            <w:szCs w:val="22"/>
          </w:rPr>
          <w:t>National Quality Standard</w:t>
        </w:r>
      </w:hyperlink>
    </w:p>
    <w:bookmarkEnd w:id="2"/>
    <w:bookmarkEnd w:id="3"/>
    <w:p w14:paraId="23541E11" w14:textId="77777777" w:rsidR="007C381F" w:rsidRPr="00BE1B5D" w:rsidRDefault="007C381F" w:rsidP="007C381F">
      <w:pPr>
        <w:pStyle w:val="PolicyHeading2-Accessible"/>
        <w:numPr>
          <w:ilvl w:val="0"/>
          <w:numId w:val="0"/>
        </w:numPr>
        <w:tabs>
          <w:tab w:val="left" w:pos="720"/>
        </w:tabs>
        <w:rPr>
          <w:rFonts w:asciiTheme="minorHAnsi" w:hAnsiTheme="minorHAnsi" w:cstheme="minorHAnsi"/>
          <w:b w:val="0"/>
          <w:bCs w:val="0"/>
          <w:sz w:val="22"/>
        </w:rPr>
      </w:pPr>
    </w:p>
    <w:p w14:paraId="6D12293F" w14:textId="77777777" w:rsidR="007C381F" w:rsidRPr="00BE1B5D" w:rsidRDefault="007C381F" w:rsidP="007C381F">
      <w:pPr>
        <w:pStyle w:val="Policy-BodyText"/>
        <w:numPr>
          <w:ilvl w:val="0"/>
          <w:numId w:val="0"/>
        </w:numPr>
        <w:tabs>
          <w:tab w:val="left" w:pos="720"/>
        </w:tabs>
        <w:ind w:left="567" w:hanging="567"/>
        <w:rPr>
          <w:rFonts w:asciiTheme="minorHAnsi" w:hAnsiTheme="minorHAnsi" w:cstheme="minorHAnsi"/>
          <w:sz w:val="22"/>
          <w:szCs w:val="22"/>
        </w:rPr>
      </w:pPr>
    </w:p>
    <w:p w14:paraId="20D0C659" w14:textId="46CB947F" w:rsidR="00B20AAA" w:rsidRPr="00BE1B5D" w:rsidRDefault="00B20AAA" w:rsidP="007C381F">
      <w:pPr>
        <w:tabs>
          <w:tab w:val="left" w:pos="1900"/>
        </w:tabs>
        <w:spacing w:line="360" w:lineRule="auto"/>
        <w:jc w:val="both"/>
        <w:rPr>
          <w:rFonts w:asciiTheme="minorHAnsi" w:hAnsiTheme="minorHAnsi" w:cstheme="minorHAnsi"/>
        </w:rPr>
      </w:pPr>
    </w:p>
    <w:sectPr w:rsidR="00B20AAA" w:rsidRPr="00BE1B5D" w:rsidSect="00BE1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437CCD"/>
    <w:multiLevelType w:val="hybridMultilevel"/>
    <w:tmpl w:val="7F7E9B1E"/>
    <w:lvl w:ilvl="0" w:tplc="04DE2C70">
      <w:start w:val="1"/>
      <w:numFmt w:val="bullet"/>
      <w:lvlText w:val=""/>
      <w:lvlJc w:val="left"/>
      <w:pPr>
        <w:ind w:left="720" w:hanging="360"/>
      </w:pPr>
      <w:rPr>
        <w:rFonts w:ascii="Symbol" w:hAnsi="Symbol" w:hint="default"/>
      </w:rPr>
    </w:lvl>
    <w:lvl w:ilvl="1" w:tplc="4E6606DE">
      <w:start w:val="1"/>
      <w:numFmt w:val="bullet"/>
      <w:lvlText w:val="o"/>
      <w:lvlJc w:val="left"/>
      <w:pPr>
        <w:ind w:left="1440" w:hanging="360"/>
      </w:pPr>
      <w:rPr>
        <w:rFonts w:ascii="Courier New" w:hAnsi="Courier New" w:cs="Courier New" w:hint="default"/>
      </w:rPr>
    </w:lvl>
    <w:lvl w:ilvl="2" w:tplc="CDC45CB4">
      <w:start w:val="1"/>
      <w:numFmt w:val="bullet"/>
      <w:lvlText w:val=""/>
      <w:lvlJc w:val="left"/>
      <w:pPr>
        <w:ind w:left="2160" w:hanging="360"/>
      </w:pPr>
      <w:rPr>
        <w:rFonts w:ascii="Wingdings" w:hAnsi="Wingdings" w:hint="default"/>
      </w:rPr>
    </w:lvl>
    <w:lvl w:ilvl="3" w:tplc="BEA8B2AE">
      <w:start w:val="1"/>
      <w:numFmt w:val="bullet"/>
      <w:lvlText w:val=""/>
      <w:lvlJc w:val="left"/>
      <w:pPr>
        <w:ind w:left="2880" w:hanging="360"/>
      </w:pPr>
      <w:rPr>
        <w:rFonts w:ascii="Symbol" w:hAnsi="Symbol" w:hint="default"/>
      </w:rPr>
    </w:lvl>
    <w:lvl w:ilvl="4" w:tplc="5D0E6228">
      <w:start w:val="1"/>
      <w:numFmt w:val="bullet"/>
      <w:lvlText w:val="o"/>
      <w:lvlJc w:val="left"/>
      <w:pPr>
        <w:ind w:left="3600" w:hanging="360"/>
      </w:pPr>
      <w:rPr>
        <w:rFonts w:ascii="Courier New" w:hAnsi="Courier New" w:cs="Courier New" w:hint="default"/>
      </w:rPr>
    </w:lvl>
    <w:lvl w:ilvl="5" w:tplc="F33E1960">
      <w:start w:val="1"/>
      <w:numFmt w:val="bullet"/>
      <w:lvlText w:val=""/>
      <w:lvlJc w:val="left"/>
      <w:pPr>
        <w:ind w:left="4320" w:hanging="360"/>
      </w:pPr>
      <w:rPr>
        <w:rFonts w:ascii="Wingdings" w:hAnsi="Wingdings" w:hint="default"/>
      </w:rPr>
    </w:lvl>
    <w:lvl w:ilvl="6" w:tplc="CB7E1AB4">
      <w:start w:val="1"/>
      <w:numFmt w:val="bullet"/>
      <w:lvlText w:val=""/>
      <w:lvlJc w:val="left"/>
      <w:pPr>
        <w:ind w:left="5040" w:hanging="360"/>
      </w:pPr>
      <w:rPr>
        <w:rFonts w:ascii="Symbol" w:hAnsi="Symbol" w:hint="default"/>
      </w:rPr>
    </w:lvl>
    <w:lvl w:ilvl="7" w:tplc="C9E4D80E">
      <w:start w:val="1"/>
      <w:numFmt w:val="bullet"/>
      <w:lvlText w:val="o"/>
      <w:lvlJc w:val="left"/>
      <w:pPr>
        <w:ind w:left="5760" w:hanging="360"/>
      </w:pPr>
      <w:rPr>
        <w:rFonts w:ascii="Courier New" w:hAnsi="Courier New" w:cs="Courier New" w:hint="default"/>
      </w:rPr>
    </w:lvl>
    <w:lvl w:ilvl="8" w:tplc="0E0E7C82">
      <w:start w:val="1"/>
      <w:numFmt w:val="bullet"/>
      <w:lvlText w:val=""/>
      <w:lvlJc w:val="left"/>
      <w:pPr>
        <w:ind w:left="6480" w:hanging="360"/>
      </w:pPr>
      <w:rPr>
        <w:rFonts w:ascii="Wingdings" w:hAnsi="Wingdings" w:hint="default"/>
      </w:rPr>
    </w:lvl>
  </w:abstractNum>
  <w:abstractNum w:abstractNumId="9"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51664656">
    <w:abstractNumId w:val="2"/>
  </w:num>
  <w:num w:numId="2" w16cid:durableId="1411077603">
    <w:abstractNumId w:val="4"/>
  </w:num>
  <w:num w:numId="3" w16cid:durableId="1919049458">
    <w:abstractNumId w:val="6"/>
  </w:num>
  <w:num w:numId="4" w16cid:durableId="637491091">
    <w:abstractNumId w:val="7"/>
  </w:num>
  <w:num w:numId="5" w16cid:durableId="1643461165">
    <w:abstractNumId w:val="0"/>
  </w:num>
  <w:num w:numId="6" w16cid:durableId="1964655487">
    <w:abstractNumId w:val="10"/>
  </w:num>
  <w:num w:numId="7" w16cid:durableId="784615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3013708">
    <w:abstractNumId w:val="1"/>
  </w:num>
  <w:num w:numId="9" w16cid:durableId="2107652771">
    <w:abstractNumId w:val="9"/>
  </w:num>
  <w:num w:numId="10" w16cid:durableId="794182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75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17AE"/>
    <w:rsid w:val="00793FA6"/>
    <w:rsid w:val="007B7418"/>
    <w:rsid w:val="007C1083"/>
    <w:rsid w:val="007C381F"/>
    <w:rsid w:val="007D5B71"/>
    <w:rsid w:val="00814C73"/>
    <w:rsid w:val="00816EF1"/>
    <w:rsid w:val="0085549D"/>
    <w:rsid w:val="00866324"/>
    <w:rsid w:val="00890AD2"/>
    <w:rsid w:val="0089740E"/>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7651B"/>
    <w:rsid w:val="00BB635E"/>
    <w:rsid w:val="00BB7368"/>
    <w:rsid w:val="00BE0C7F"/>
    <w:rsid w:val="00BE1B5D"/>
    <w:rsid w:val="00C53F33"/>
    <w:rsid w:val="00C638AC"/>
    <w:rsid w:val="00C767E0"/>
    <w:rsid w:val="00CE5388"/>
    <w:rsid w:val="00CE744E"/>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uiPriority w:val="9"/>
    <w:qFormat/>
    <w:rsid w:val="007C38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38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customStyle="1" w:styleId="PolicyHeading1-Accessible">
    <w:name w:val="Policy Heading 1 - Accessible"/>
    <w:basedOn w:val="Heading1"/>
    <w:qFormat/>
    <w:rsid w:val="007C381F"/>
    <w:pPr>
      <w:suppressAutoHyphens/>
      <w:spacing w:before="120"/>
      <w:contextualSpacing w:val="0"/>
    </w:pPr>
    <w:rPr>
      <w:b/>
      <w:bCs/>
      <w:color w:val="auto"/>
      <w:sz w:val="28"/>
      <w:szCs w:val="28"/>
    </w:rPr>
  </w:style>
  <w:style w:type="paragraph" w:customStyle="1" w:styleId="Policy-BodyText">
    <w:name w:val="Policy - Body Text"/>
    <w:basedOn w:val="Normal"/>
    <w:qFormat/>
    <w:rsid w:val="007C381F"/>
    <w:pPr>
      <w:numPr>
        <w:ilvl w:val="1"/>
        <w:numId w:val="10"/>
      </w:numPr>
      <w:spacing w:line="264" w:lineRule="auto"/>
      <w:ind w:left="567" w:hanging="567"/>
      <w:contextualSpacing w:val="0"/>
    </w:pPr>
    <w:rPr>
      <w:rFonts w:eastAsiaTheme="minorEastAsia" w:cstheme="minorBidi"/>
      <w:sz w:val="24"/>
      <w:szCs w:val="24"/>
    </w:rPr>
  </w:style>
  <w:style w:type="paragraph" w:customStyle="1" w:styleId="PolicyHeading2-Accessible">
    <w:name w:val="Policy Heading 2 - Accessible"/>
    <w:basedOn w:val="Heading2"/>
    <w:next w:val="Policy-BodyText"/>
    <w:qFormat/>
    <w:rsid w:val="007C381F"/>
    <w:pPr>
      <w:keepNext w:val="0"/>
      <w:keepLines w:val="0"/>
      <w:numPr>
        <w:numId w:val="10"/>
      </w:numPr>
      <w:tabs>
        <w:tab w:val="clear" w:pos="567"/>
        <w:tab w:val="num" w:pos="360"/>
      </w:tabs>
      <w:spacing w:before="120"/>
      <w:ind w:left="768" w:hanging="360"/>
      <w:contextualSpacing w:val="0"/>
    </w:pPr>
    <w:rPr>
      <w:rFonts w:ascii="Calibri" w:eastAsia="Times New Roman" w:hAnsi="Calibri" w:cs="Calibri"/>
      <w:b/>
      <w:bCs/>
      <w:color w:val="auto"/>
      <w:sz w:val="24"/>
      <w:szCs w:val="22"/>
    </w:rPr>
  </w:style>
  <w:style w:type="character" w:customStyle="1" w:styleId="ExplanatoryTextChar">
    <w:name w:val="Explanatory Text Char"/>
    <w:basedOn w:val="DefaultParagraphFont"/>
    <w:link w:val="ExplanatoryText"/>
    <w:locked/>
    <w:rsid w:val="007C381F"/>
    <w:rPr>
      <w:rFonts w:ascii="Calibri" w:eastAsia="Times New Roman" w:hAnsi="Calibri" w:cs="Calibri"/>
      <w:b/>
    </w:rPr>
  </w:style>
  <w:style w:type="paragraph" w:customStyle="1" w:styleId="ExplanatoryText">
    <w:name w:val="Explanatory Text"/>
    <w:basedOn w:val="Normal"/>
    <w:link w:val="ExplanatoryTextChar"/>
    <w:rsid w:val="007C381F"/>
    <w:pPr>
      <w:tabs>
        <w:tab w:val="num" w:pos="851"/>
      </w:tabs>
      <w:ind w:left="851" w:hanging="851"/>
    </w:pPr>
    <w:rPr>
      <w:b/>
    </w:rPr>
  </w:style>
  <w:style w:type="character" w:customStyle="1" w:styleId="Heading1Char">
    <w:name w:val="Heading 1 Char"/>
    <w:basedOn w:val="DefaultParagraphFont"/>
    <w:link w:val="Heading1"/>
    <w:uiPriority w:val="9"/>
    <w:rsid w:val="007C38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38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476075406">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hyperlink" Target="https://www.legislation.act.gov.au/a/2011-42/default.asp" TargetMode="External"/><Relationship Id="rId18" Type="http://schemas.openxmlformats.org/officeDocument/2006/relationships/hyperlink" Target="https://www.legislation.nsw.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2.png@01D22A14.E855DF20" TargetMode="External"/><Relationship Id="rId12" Type="http://schemas.openxmlformats.org/officeDocument/2006/relationships/image" Target="media/image3.emf"/><Relationship Id="rId17" Type="http://schemas.openxmlformats.org/officeDocument/2006/relationships/hyperlink" Target="https://www.legislation.act.gov.au/a/2011-42/default.asp" TargetMode="External"/><Relationship Id="rId2" Type="http://schemas.openxmlformats.org/officeDocument/2006/relationships/styles" Target="styles.xml"/><Relationship Id="rId16" Type="http://schemas.openxmlformats.org/officeDocument/2006/relationships/hyperlink" Target="mailto:complaintsCECA@ac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5" Type="http://schemas.openxmlformats.org/officeDocument/2006/relationships/hyperlink" Target="mailto:schooloperations@act.gov.au" TargetMode="External"/><Relationship Id="rId10" Type="http://schemas.openxmlformats.org/officeDocument/2006/relationships/hyperlink" Target="http://www.forrestps.act.edu.au" TargetMode="External"/><Relationship Id="rId19" Type="http://schemas.openxmlformats.org/officeDocument/2006/relationships/hyperlink" Target="https://www.acecqa.gov.au/nqf/national-quality-standard"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hyperlink" Target="https://www.acecqa.gov.au/nqf/national-quality-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2023-02-01T02:30:00Z</dcterms:created>
  <dcterms:modified xsi:type="dcterms:W3CDTF">2023-02-01T02:30:00Z</dcterms:modified>
</cp:coreProperties>
</file>